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bookmarkStart w:colFirst="0" w:colLast="0" w:name="_heading=h.n4bq2tcoiv3r" w:id="0"/>
      <w:bookmarkEnd w:id="0"/>
      <w:r w:rsidDel="00000000" w:rsidR="00000000" w:rsidRPr="00000000">
        <w:rPr/>
        <w:drawing>
          <wp:anchor allowOverlap="1" behindDoc="0" distB="114300" distT="114300" distL="114300" distR="114300" hidden="0" layoutInCell="1" locked="0" relativeHeight="0" simplePos="0">
            <wp:simplePos x="0" y="0"/>
            <wp:positionH relativeFrom="page">
              <wp:posOffset>2038350</wp:posOffset>
            </wp:positionH>
            <wp:positionV relativeFrom="page">
              <wp:posOffset>857250</wp:posOffset>
            </wp:positionV>
            <wp:extent cx="3697043" cy="455800"/>
            <wp:effectExtent b="0" l="0" r="0" t="0"/>
            <wp:wrapSquare wrapText="bothSides" distB="114300" distT="114300" distL="114300" distR="114300"/>
            <wp:docPr descr="University of Southern California Center for Excellence in Teaching" id="1" name="image1.jpg"/>
            <a:graphic>
              <a:graphicData uri="http://schemas.openxmlformats.org/drawingml/2006/picture">
                <pic:pic>
                  <pic:nvPicPr>
                    <pic:cNvPr descr="University of Southern California Center for Excellence in Teaching" id="0" name="image1.jpg"/>
                    <pic:cNvPicPr preferRelativeResize="0"/>
                  </pic:nvPicPr>
                  <pic:blipFill>
                    <a:blip r:embed="rId7"/>
                    <a:srcRect b="0" l="0" r="0" t="0"/>
                    <a:stretch>
                      <a:fillRect/>
                    </a:stretch>
                  </pic:blipFill>
                  <pic:spPr>
                    <a:xfrm>
                      <a:off x="0" y="0"/>
                      <a:ext cx="3697043" cy="45580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pStyle w:val="Heading1"/>
        <w:rPr/>
      </w:pPr>
      <w:bookmarkStart w:colFirst="0" w:colLast="0" w:name="_heading=h.5edvnvjgo1bl" w:id="1"/>
      <w:bookmarkEnd w:id="1"/>
      <w:r w:rsidDel="00000000" w:rsidR="00000000" w:rsidRPr="00000000">
        <w:rPr>
          <w:rtl w:val="0"/>
        </w:rPr>
        <w:t xml:space="preserve">Brief Peer Review Tool: </w:t>
      </w:r>
      <w:r w:rsidDel="00000000" w:rsidR="00000000" w:rsidRPr="00000000">
        <w:rPr>
          <w:rtl w:val="0"/>
        </w:rPr>
        <w:t xml:space="preserve">Syllabus</w:t>
      </w: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Introduction</w:t>
      </w:r>
    </w:p>
    <w:p w:rsidR="00000000" w:rsidDel="00000000" w:rsidP="00000000" w:rsidRDefault="00000000" w:rsidRPr="00000000" w14:paraId="00000005">
      <w:pPr>
        <w:rPr/>
      </w:pPr>
      <w:r w:rsidDel="00000000" w:rsidR="00000000" w:rsidRPr="00000000">
        <w:rPr>
          <w:rtl w:val="0"/>
        </w:rPr>
        <w:t xml:space="preserve">A course syllabus shapes student expectations and establishes the conditions for learning before a course begins. It is the contract between a professor and a student that communicates learning objectives, assessment plans, study strategies, course policies, and scheduling.</w:t>
      </w:r>
    </w:p>
    <w:p w:rsidR="00000000" w:rsidDel="00000000" w:rsidP="00000000" w:rsidRDefault="00000000" w:rsidRPr="00000000" w14:paraId="00000006">
      <w:pPr>
        <w:rPr/>
      </w:pPr>
      <w:r w:rsidDel="00000000" w:rsidR="00000000" w:rsidRPr="00000000">
        <w:rPr>
          <w:rtl w:val="0"/>
        </w:rPr>
        <w:t xml:space="preserve">Well-designed syllabi improve student learning by making goals and assessments transparent, supporting productive study behaviors, and reducing avoidable misunderstandings that impede motivation and equity</w:t>
      </w:r>
      <w:r w:rsidDel="00000000" w:rsidR="00000000" w:rsidRPr="00000000">
        <w:rPr>
          <w:rFonts w:ascii="Calibri" w:cs="Calibri" w:eastAsia="Calibri" w:hAnsi="Calibri"/>
          <w:rtl w:val="0"/>
        </w:rPr>
        <w:t xml:space="preserve">. When course expectations, grading policies, and accommodations are clearly communicated, all students are better positioned to succeed regardless of prior academic experience or background (</w:t>
      </w:r>
      <w:hyperlink r:id="rId8">
        <w:r w:rsidDel="00000000" w:rsidR="00000000" w:rsidRPr="00000000">
          <w:rPr>
            <w:color w:val="1155cc"/>
            <w:u w:val="single"/>
            <w:rtl w:val="0"/>
          </w:rPr>
          <w:t xml:space="preserve">Hattie &amp; Donoghue, 2016</w:t>
        </w:r>
      </w:hyperlink>
      <w:r w:rsidDel="00000000" w:rsidR="00000000" w:rsidRPr="00000000">
        <w:rPr>
          <w:rFonts w:ascii="Calibri" w:cs="Calibri" w:eastAsia="Calibri" w:hAnsi="Calibri"/>
          <w:rtl w:val="0"/>
        </w:rPr>
        <w:t xml:space="preserve">; </w:t>
      </w:r>
      <w:hyperlink r:id="rId9">
        <w:r w:rsidDel="00000000" w:rsidR="00000000" w:rsidRPr="00000000">
          <w:rPr>
            <w:rFonts w:ascii="Calibri" w:cs="Calibri" w:eastAsia="Calibri" w:hAnsi="Calibri"/>
            <w:color w:val="1155cc"/>
            <w:u w:val="single"/>
            <w:rtl w:val="0"/>
          </w:rPr>
          <w:t xml:space="preserve">Slattery &amp; Carlson, 2005</w:t>
        </w:r>
      </w:hyperlink>
      <w:r w:rsidDel="00000000" w:rsidR="00000000" w:rsidRPr="00000000">
        <w:rPr>
          <w:rFonts w:ascii="Calibri" w:cs="Calibri" w:eastAsia="Calibri" w:hAnsi="Calibri"/>
          <w:rtl w:val="0"/>
        </w:rPr>
        <w:t xml:space="preserve">). Effective syllabus design reflects core dimensions of USC’s </w:t>
      </w:r>
      <w:hyperlink r:id="rId10">
        <w:r w:rsidDel="00000000" w:rsidR="00000000" w:rsidRPr="00000000">
          <w:rPr>
            <w:rFonts w:ascii="Calibri" w:cs="Calibri" w:eastAsia="Calibri" w:hAnsi="Calibri"/>
            <w:color w:val="1155cc"/>
            <w:u w:val="single"/>
            <w:rtl w:val="0"/>
          </w:rPr>
          <w:t xml:space="preserve">Definition of Excellence in Teaching</w:t>
        </w:r>
      </w:hyperlink>
      <w:r w:rsidDel="00000000" w:rsidR="00000000" w:rsidRPr="00000000">
        <w:rPr>
          <w:rtl w:val="0"/>
        </w:rPr>
        <w:t xml:space="preserve">, including being Prepared and Purposeful in aligning objectives and assessments, and Fair and Equitable in communicating grading, policies, and accommodations transparently.</w:t>
      </w:r>
    </w:p>
    <w:p w:rsidR="00000000" w:rsidDel="00000000" w:rsidP="00000000" w:rsidRDefault="00000000" w:rsidRPr="00000000" w14:paraId="00000007">
      <w:pPr>
        <w:pStyle w:val="Heading2"/>
        <w:rPr/>
      </w:pPr>
      <w:r w:rsidDel="00000000" w:rsidR="00000000" w:rsidRPr="00000000">
        <w:rPr>
          <w:rtl w:val="0"/>
        </w:rPr>
        <w:t xml:space="preserve">Document Submissions</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current course syllabus containing the course description, learning objectives, assessment descriptions and grade breakdown, study strategies, major course policies, and schedule.</w:t>
      </w:r>
    </w:p>
    <w:p w:rsidR="00000000" w:rsidDel="00000000" w:rsidP="00000000" w:rsidRDefault="00000000" w:rsidRPr="00000000" w14:paraId="0000000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24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ensure that evidence of the criteria below is explicitly demonstrated in your syllabus.</w:t>
      </w:r>
    </w:p>
    <w:p w:rsidR="00000000" w:rsidDel="00000000" w:rsidP="00000000" w:rsidRDefault="00000000" w:rsidRPr="00000000" w14:paraId="0000000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24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w:t>
      </w:r>
      <w:hyperlink w:anchor="_heading=h.tqybhwffzip6">
        <w:r w:rsidDel="00000000" w:rsidR="00000000" w:rsidRPr="00000000">
          <w:rPr>
            <w:rFonts w:ascii="Calibri" w:cs="Calibri" w:eastAsia="Calibri" w:hAnsi="Calibri"/>
            <w:b w:val="0"/>
            <w:bCs w:val="0"/>
            <w:i w:val="0"/>
            <w:iCs w:val="0"/>
            <w:smallCaps w:val="0"/>
            <w:strike w:val="0"/>
            <w:color w:val="1155cc"/>
            <w:sz w:val="24"/>
            <w:szCs w:val="24"/>
            <w:u w:val="single"/>
            <w:shd w:fill="auto" w:val="clear"/>
            <w:vertAlign w:val="baseline"/>
            <w:rtl w:val="0"/>
          </w:rPr>
          <w:t xml:space="preserve">peer review evaluation rubric</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is provided for your reference.</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24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Any supporting materials (assignment sheets, rubrics, or a short instructor note clarifying items only briefly addressed in the syllabus).</w:t>
      </w:r>
    </w:p>
    <w:p w:rsidR="00000000" w:rsidDel="00000000" w:rsidP="00000000" w:rsidRDefault="00000000" w:rsidRPr="00000000" w14:paraId="0000000C">
      <w:pPr>
        <w:pStyle w:val="Heading2"/>
        <w:rPr/>
      </w:pPr>
      <w:r w:rsidDel="00000000" w:rsidR="00000000" w:rsidRPr="00000000">
        <w:rPr>
          <w:rtl w:val="0"/>
        </w:rPr>
        <w:t xml:space="preserve">Evaluation Criteria and Rationale</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240" w:line="240" w:lineRule="auto"/>
        <w:ind w:left="5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Clarity and Specificity of Learning Objectives</w:t>
        <w:br w:type="textWrapp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Are course learning objectives measurable, stated in student-centered terms that indicate expected performance, and are they easy to locate in the syllabus?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br w:type="textWrapping"/>
        <w:t xml:space="preserve">Specific, observable objectives make expectations explicit and help students focus their efforts (</w:t>
      </w:r>
      <w:hyperlink r:id="rId11">
        <w:r w:rsidDel="00000000" w:rsidR="00000000" w:rsidRPr="00000000">
          <w:rPr>
            <w:i w:val="1"/>
            <w:iCs w:val="1"/>
            <w:color w:val="1155cc"/>
            <w:u w:val="single"/>
            <w:rtl w:val="0"/>
          </w:rPr>
          <w:t xml:space="preserve">Hattie &amp; Donoghue, </w:t>
        </w:r>
      </w:hyperlink>
      <w:hyperlink r:id="rId12">
        <w:r w:rsidDel="00000000" w:rsidR="00000000" w:rsidRPr="00000000">
          <w:rPr>
            <w:i w:val="1"/>
            <w:iCs w:val="1"/>
            <w:color w:val="1155cc"/>
            <w:u w:val="single"/>
            <w:rtl w:val="0"/>
          </w:rPr>
          <w:t xml:space="preserve">2016</w:t>
        </w:r>
      </w:hyperlink>
      <w:hyperlink r:id="rId13">
        <w:r w:rsidDel="00000000" w:rsidR="00000000" w:rsidRPr="00000000">
          <w:rPr>
            <w:rFonts w:ascii="Calibri" w:cs="Calibri" w:eastAsia="Calibri" w:hAnsi="Calibri"/>
            <w:b w:val="0"/>
            <w:bCs w:val="0"/>
            <w:i w:val="1"/>
            <w:iCs w:val="1"/>
            <w:smallCaps w:val="0"/>
            <w:strike w:val="0"/>
            <w:color w:val="1155cc"/>
            <w:sz w:val="24"/>
            <w:szCs w:val="24"/>
            <w:u w:val="single"/>
            <w:shd w:fill="auto" w:val="clear"/>
            <w:vertAlign w:val="baseline"/>
            <w:rtl w:val="0"/>
          </w:rPr>
          <w:t xml:space="preserve">)</w:t>
        </w:r>
      </w:hyperlink>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540" w:right="-9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Alignment of Objectives, Activities, and Assessments</w:t>
        <w:br w:type="textWrapp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Does the syllabus explicitly explain how major assessments and course activities are connected to the learning objectives?</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br w:type="textWrapping"/>
        <w:t xml:space="preserve">When the connection between objectives, activities, and assessments is made explicit, students can direct their study efforts more purposefully and understand why the course is structured as it is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w:t>
      </w:r>
      <w:hyperlink r:id="rId14">
        <w:r w:rsidDel="00000000" w:rsidR="00000000" w:rsidRPr="00000000">
          <w:rPr>
            <w:i w:val="1"/>
            <w:iCs w:val="1"/>
            <w:color w:val="1155cc"/>
            <w:u w:val="single"/>
            <w:rtl w:val="0"/>
          </w:rPr>
          <w:t xml:space="preserve">Biggs, 1996</w:t>
        </w:r>
      </w:hyperlink>
      <w:r w:rsidDel="00000000" w:rsidR="00000000" w:rsidRPr="00000000">
        <w:rPr>
          <w:i w:val="1"/>
          <w:iCs w:val="1"/>
          <w:color w:val="000000"/>
          <w:u w:val="none"/>
          <w:rtl w:val="0"/>
        </w:rPr>
        <w:t xml:space="preserve">, </w:t>
      </w:r>
      <w:hyperlink r:id="rId15">
        <w:r w:rsidDel="00000000" w:rsidR="00000000" w:rsidRPr="00000000">
          <w:rPr>
            <w:i w:val="1"/>
            <w:iCs w:val="1"/>
            <w:color w:val="1155cc"/>
            <w:u w:val="single"/>
            <w:rtl w:val="0"/>
          </w:rPr>
          <w:t xml:space="preserve">Wang et al., 2013</w:t>
        </w:r>
      </w:hyperlink>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5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Transparency and Fairness of Assessment and Grading Policies</w:t>
        <w:br w:type="textWrapp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Does the syllabus include an explicit grading breakdown, policies for lateness and make-ups, and clear information on how final grades are calculated?</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br w:type="textWrapping"/>
        <w:t xml:space="preserve">Transparent grading policies reduce confusion and perceived arbitrariness, supporting equitable outcomes by ensuring all students have equal access to the rules governing their evaluation </w:t>
      </w:r>
      <w:hyperlink r:id="rId16">
        <w:r w:rsidDel="00000000" w:rsidR="00000000" w:rsidRPr="00000000">
          <w:rPr>
            <w:rFonts w:ascii="Calibri" w:cs="Calibri" w:eastAsia="Calibri" w:hAnsi="Calibri"/>
            <w:b w:val="0"/>
            <w:bCs w:val="0"/>
            <w:i w:val="1"/>
            <w:iCs w:val="1"/>
            <w:smallCaps w:val="0"/>
            <w:strike w:val="0"/>
            <w:color w:val="1155cc"/>
            <w:sz w:val="24"/>
            <w:szCs w:val="24"/>
            <w:u w:val="single"/>
            <w:shd w:fill="auto" w:val="clear"/>
            <w:vertAlign w:val="baseline"/>
            <w:rtl w:val="0"/>
          </w:rPr>
          <w:t xml:space="preserve">(</w:t>
        </w:r>
      </w:hyperlink>
      <w:hyperlink r:id="rId17">
        <w:r w:rsidDel="00000000" w:rsidR="00000000" w:rsidRPr="00000000">
          <w:rPr>
            <w:i w:val="1"/>
            <w:iCs w:val="1"/>
            <w:color w:val="1155cc"/>
            <w:u w:val="single"/>
            <w:rtl w:val="0"/>
          </w:rPr>
          <w:t xml:space="preserve">Balloo et al., 2018</w:t>
        </w:r>
      </w:hyperlink>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5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Accessibility and Accommodations</w:t>
        <w:br w:type="textWrapp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Does the syllabus include a current, actionable statement about accommodations, including how students request them and relevant contact information?</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br w:type="textWrapping"/>
        <w:t xml:space="preserve">Clear accommodation language ensures students who need support can act on it immediately, without having to seek out information that should already be available to them. Its absence creates an inequitable barrier to access and raises legal compliance concerns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w:t>
      </w:r>
      <w:hyperlink r:id="rId18">
        <w:r w:rsidDel="00000000" w:rsidR="00000000" w:rsidRPr="00000000">
          <w:rPr>
            <w:i w:val="1"/>
            <w:iCs w:val="1"/>
            <w:color w:val="1155cc"/>
            <w:u w:val="single"/>
            <w:rtl w:val="0"/>
          </w:rPr>
          <w:t xml:space="preserve">Moriña &amp; Biagiotti, 2022</w:t>
        </w:r>
      </w:hyperlink>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Promotion of Student Engagement and Study Practice</w:t>
        <w:br w:type="textWrapp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Does the syllabus describe required participation or preparation activities and provide guidance on how students should prepare for the course?</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br w:type="textWrapping"/>
        <w:t xml:space="preserve">When syllabi specify what engagement looks like and how much time and effort the course requires, students can plan effectively</w:t>
      </w:r>
      <w:r w:rsidDel="00000000" w:rsidR="00000000" w:rsidRPr="00000000">
        <w:rPr>
          <w:i w:val="1"/>
          <w:iCs w:val="1"/>
          <w:rtl w:val="0"/>
        </w:rPr>
        <w:t xml:space="preserve"> –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particularly those new to college, or to a discipline for whom these expectations may not be self-evident (</w:t>
      </w:r>
      <w:hyperlink r:id="rId19">
        <w:r w:rsidDel="00000000" w:rsidR="00000000" w:rsidRPr="00000000">
          <w:rPr>
            <w:rFonts w:ascii="Calibri" w:cs="Calibri" w:eastAsia="Calibri" w:hAnsi="Calibri"/>
            <w:b w:val="0"/>
            <w:bCs w:val="0"/>
            <w:i w:val="1"/>
            <w:iCs w:val="1"/>
            <w:smallCaps w:val="0"/>
            <w:strike w:val="0"/>
            <w:color w:val="1155cc"/>
            <w:sz w:val="24"/>
            <w:szCs w:val="24"/>
            <w:u w:val="single"/>
            <w:shd w:fill="auto" w:val="clear"/>
            <w:vertAlign w:val="baseline"/>
            <w:rtl w:val="0"/>
          </w:rPr>
          <w:t xml:space="preserve">Wheeler et al., 2019</w:t>
        </w:r>
      </w:hyperlink>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2">
      <w:pPr>
        <w:pStyle w:val="Heading2"/>
        <w:rPr/>
      </w:pPr>
      <w:bookmarkStart w:colFirst="0" w:colLast="0" w:name="_heading=h.2caa0ryad5av" w:id="2"/>
      <w:bookmarkEnd w:id="2"/>
      <w:r w:rsidDel="00000000" w:rsidR="00000000" w:rsidRPr="00000000">
        <w:rPr>
          <w:rtl w:val="0"/>
        </w:rPr>
        <w:t xml:space="preserve">References</w:t>
      </w:r>
    </w:p>
    <w:p w:rsidR="00000000" w:rsidDel="00000000" w:rsidP="00000000" w:rsidRDefault="00000000" w:rsidRPr="00000000" w14:paraId="00000013">
      <w:pPr>
        <w:ind w:left="720" w:hanging="720"/>
        <w:rPr/>
      </w:pPr>
      <w:r w:rsidDel="00000000" w:rsidR="00000000" w:rsidRPr="00000000">
        <w:rPr>
          <w:rtl w:val="0"/>
        </w:rPr>
        <w:t xml:space="preserve">Balloo, K., Evans, C., Hughes, A., Zhu, X., &amp; Winstone, N. (2018). Transparency isn’t spoon-feeding: How a transformative approach to the use of explicit assessment criteria can support student self-regulation. </w:t>
      </w:r>
      <w:r w:rsidDel="00000000" w:rsidR="00000000" w:rsidRPr="00000000">
        <w:rPr>
          <w:i w:val="1"/>
          <w:iCs w:val="1"/>
          <w:rtl w:val="0"/>
        </w:rPr>
        <w:t xml:space="preserve">Frontiers in Education</w:t>
      </w:r>
      <w:r w:rsidDel="00000000" w:rsidR="00000000" w:rsidRPr="00000000">
        <w:rPr>
          <w:rtl w:val="0"/>
        </w:rPr>
        <w:t xml:space="preserve">, </w:t>
      </w:r>
      <w:r w:rsidDel="00000000" w:rsidR="00000000" w:rsidRPr="00000000">
        <w:rPr>
          <w:i w:val="1"/>
          <w:iCs w:val="1"/>
          <w:rtl w:val="0"/>
        </w:rPr>
        <w:t xml:space="preserve">3</w:t>
      </w:r>
      <w:r w:rsidDel="00000000" w:rsidR="00000000" w:rsidRPr="00000000">
        <w:rPr>
          <w:rtl w:val="0"/>
        </w:rPr>
        <w:t xml:space="preserve">, Article 69. </w:t>
      </w:r>
      <w:hyperlink r:id="rId20">
        <w:r w:rsidDel="00000000" w:rsidR="00000000" w:rsidRPr="00000000">
          <w:rPr>
            <w:color w:val="1155cc"/>
            <w:u w:val="single"/>
            <w:rtl w:val="0"/>
          </w:rPr>
          <w:t xml:space="preserve">USC Libraries link</w:t>
        </w:r>
      </w:hyperlink>
      <w:r w:rsidDel="00000000" w:rsidR="00000000" w:rsidRPr="00000000">
        <w:rPr>
          <w:rtl w:val="0"/>
        </w:rPr>
        <w:t xml:space="preserve">.</w:t>
      </w:r>
    </w:p>
    <w:p w:rsidR="00000000" w:rsidDel="00000000" w:rsidP="00000000" w:rsidRDefault="00000000" w:rsidRPr="00000000" w14:paraId="00000014">
      <w:pPr>
        <w:ind w:left="720"/>
        <w:rPr/>
      </w:pPr>
      <w:r w:rsidDel="00000000" w:rsidR="00000000" w:rsidRPr="00000000">
        <w:rPr>
          <w:rtl w:val="0"/>
        </w:rPr>
        <w:t xml:space="preserve">Biggs, J. (1996). Enhancing teaching through constructive alignment. </w:t>
      </w:r>
      <w:r w:rsidDel="00000000" w:rsidR="00000000" w:rsidRPr="00000000">
        <w:rPr>
          <w:i w:val="1"/>
          <w:iCs w:val="1"/>
          <w:rtl w:val="0"/>
        </w:rPr>
        <w:t xml:space="preserve">Higher Education</w:t>
      </w:r>
      <w:r w:rsidDel="00000000" w:rsidR="00000000" w:rsidRPr="00000000">
        <w:rPr>
          <w:rtl w:val="0"/>
        </w:rPr>
        <w:t xml:space="preserve">, </w:t>
      </w:r>
      <w:r w:rsidDel="00000000" w:rsidR="00000000" w:rsidRPr="00000000">
        <w:rPr>
          <w:i w:val="1"/>
          <w:iCs w:val="1"/>
          <w:rtl w:val="0"/>
        </w:rPr>
        <w:t xml:space="preserve">32</w:t>
      </w:r>
      <w:r w:rsidDel="00000000" w:rsidR="00000000" w:rsidRPr="00000000">
        <w:rPr>
          <w:rtl w:val="0"/>
        </w:rPr>
        <w:t xml:space="preserve">(3), 347-364. </w:t>
      </w:r>
      <w:hyperlink r:id="rId21">
        <w:r w:rsidDel="00000000" w:rsidR="00000000" w:rsidRPr="00000000">
          <w:rPr>
            <w:color w:val="1155cc"/>
            <w:u w:val="single"/>
            <w:rtl w:val="0"/>
          </w:rPr>
          <w:t xml:space="preserve">Article link</w:t>
        </w:r>
      </w:hyperlink>
      <w:r w:rsidDel="00000000" w:rsidR="00000000" w:rsidRPr="00000000">
        <w:rPr>
          <w:rtl w:val="0"/>
        </w:rPr>
        <w:t xml:space="preserve">.</w:t>
      </w:r>
    </w:p>
    <w:p w:rsidR="00000000" w:rsidDel="00000000" w:rsidP="00000000" w:rsidRDefault="00000000" w:rsidRPr="00000000" w14:paraId="00000015">
      <w:pPr>
        <w:ind w:left="720" w:hanging="720"/>
        <w:jc w:val="both"/>
        <w:rPr>
          <w:color w:val="000000"/>
        </w:rPr>
      </w:pPr>
      <w:r w:rsidDel="00000000" w:rsidR="00000000" w:rsidRPr="00000000">
        <w:rPr>
          <w:color w:val="000000"/>
          <w:rtl w:val="0"/>
        </w:rPr>
        <w:t xml:space="preserve">‌Hattie, J., &amp; Donoghue, G. (2016). Learning strategies: a synthesis and conceptual model. </w:t>
      </w:r>
      <w:r w:rsidDel="00000000" w:rsidR="00000000" w:rsidRPr="00000000">
        <w:rPr>
          <w:i w:val="1"/>
          <w:iCs w:val="1"/>
          <w:rtl w:val="0"/>
        </w:rPr>
        <w:t xml:space="preserve">NPJ</w:t>
      </w:r>
      <w:r w:rsidDel="00000000" w:rsidR="00000000" w:rsidRPr="00000000">
        <w:rPr>
          <w:i w:val="1"/>
          <w:iCs w:val="1"/>
          <w:color w:val="000000"/>
          <w:rtl w:val="0"/>
        </w:rPr>
        <w:t xml:space="preserve"> Science of Learning</w:t>
      </w:r>
      <w:r w:rsidDel="00000000" w:rsidR="00000000" w:rsidRPr="00000000">
        <w:rPr>
          <w:color w:val="000000"/>
          <w:rtl w:val="0"/>
        </w:rPr>
        <w:t xml:space="preserve">, </w:t>
      </w:r>
      <w:r w:rsidDel="00000000" w:rsidR="00000000" w:rsidRPr="00000000">
        <w:rPr>
          <w:i w:val="1"/>
          <w:iCs w:val="1"/>
          <w:color w:val="000000"/>
          <w:rtl w:val="0"/>
        </w:rPr>
        <w:t xml:space="preserve">1</w:t>
      </w:r>
      <w:r w:rsidDel="00000000" w:rsidR="00000000" w:rsidRPr="00000000">
        <w:rPr>
          <w:color w:val="000000"/>
          <w:rtl w:val="0"/>
        </w:rPr>
        <w:t xml:space="preserve">(1). </w:t>
      </w:r>
      <w:hyperlink r:id="rId22">
        <w:r w:rsidDel="00000000" w:rsidR="00000000" w:rsidRPr="00000000">
          <w:rPr>
            <w:color w:val="1155cc"/>
            <w:u w:val="single"/>
            <w:rtl w:val="0"/>
          </w:rPr>
          <w:t xml:space="preserve">USC Libraries link</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6">
      <w:pPr>
        <w:ind w:left="720"/>
        <w:jc w:val="both"/>
        <w:rPr/>
      </w:pPr>
      <w:r w:rsidDel="00000000" w:rsidR="00000000" w:rsidRPr="00000000">
        <w:rPr>
          <w:rtl w:val="0"/>
        </w:rPr>
        <w:t xml:space="preserve">Moriña, A., &amp; Biagiotti, G. (2021). Academic success factors in university students with disabilities: A systematic review. </w:t>
      </w:r>
      <w:r w:rsidDel="00000000" w:rsidR="00000000" w:rsidRPr="00000000">
        <w:rPr>
          <w:i w:val="1"/>
          <w:iCs w:val="1"/>
          <w:rtl w:val="0"/>
        </w:rPr>
        <w:t xml:space="preserve">European Journal of Special Needs Education</w:t>
      </w:r>
      <w:r w:rsidDel="00000000" w:rsidR="00000000" w:rsidRPr="00000000">
        <w:rPr>
          <w:rtl w:val="0"/>
        </w:rPr>
        <w:t xml:space="preserve">, </w:t>
      </w:r>
      <w:r w:rsidDel="00000000" w:rsidR="00000000" w:rsidRPr="00000000">
        <w:rPr>
          <w:i w:val="1"/>
          <w:iCs w:val="1"/>
          <w:rtl w:val="0"/>
        </w:rPr>
        <w:t xml:space="preserve">37</w:t>
      </w:r>
      <w:r w:rsidDel="00000000" w:rsidR="00000000" w:rsidRPr="00000000">
        <w:rPr>
          <w:rtl w:val="0"/>
        </w:rPr>
        <w:t xml:space="preserve">(5), 1-18. </w:t>
      </w:r>
      <w:hyperlink r:id="rId23">
        <w:r w:rsidDel="00000000" w:rsidR="00000000" w:rsidRPr="00000000">
          <w:rPr>
            <w:color w:val="1155cc"/>
            <w:u w:val="single"/>
            <w:rtl w:val="0"/>
          </w:rPr>
          <w:t xml:space="preserve">Article link</w:t>
        </w:r>
      </w:hyperlink>
      <w:r w:rsidDel="00000000" w:rsidR="00000000" w:rsidRPr="00000000">
        <w:rPr>
          <w:rtl w:val="0"/>
        </w:rPr>
        <w:t xml:space="preserve">.</w:t>
      </w:r>
    </w:p>
    <w:p w:rsidR="00000000" w:rsidDel="00000000" w:rsidP="00000000" w:rsidRDefault="00000000" w:rsidRPr="00000000" w14:paraId="00000017">
      <w:pPr>
        <w:ind w:left="720" w:hanging="720"/>
        <w:jc w:val="both"/>
        <w:rPr>
          <w:color w:val="000000"/>
        </w:rPr>
      </w:pPr>
      <w:r w:rsidDel="00000000" w:rsidR="00000000" w:rsidRPr="00000000">
        <w:rPr>
          <w:color w:val="000000"/>
          <w:rtl w:val="0"/>
        </w:rPr>
        <w:t xml:space="preserve">Slattery, J. M., &amp; Carlson, J. F. (2005). Preparing </w:t>
      </w:r>
      <w:r w:rsidDel="00000000" w:rsidR="00000000" w:rsidRPr="00000000">
        <w:rPr>
          <w:rtl w:val="0"/>
        </w:rPr>
        <w:t xml:space="preserve">a</w:t>
      </w:r>
      <w:r w:rsidDel="00000000" w:rsidR="00000000" w:rsidRPr="00000000">
        <w:rPr>
          <w:color w:val="000000"/>
          <w:rtl w:val="0"/>
        </w:rPr>
        <w:t xml:space="preserve">n </w:t>
      </w:r>
      <w:r w:rsidDel="00000000" w:rsidR="00000000" w:rsidRPr="00000000">
        <w:rPr>
          <w:rtl w:val="0"/>
        </w:rPr>
        <w:t xml:space="preserve">e</w:t>
      </w:r>
      <w:r w:rsidDel="00000000" w:rsidR="00000000" w:rsidRPr="00000000">
        <w:rPr>
          <w:color w:val="000000"/>
          <w:rtl w:val="0"/>
        </w:rPr>
        <w:t xml:space="preserve">ffective </w:t>
      </w:r>
      <w:r w:rsidDel="00000000" w:rsidR="00000000" w:rsidRPr="00000000">
        <w:rPr>
          <w:rtl w:val="0"/>
        </w:rPr>
        <w:t xml:space="preserve">s</w:t>
      </w:r>
      <w:r w:rsidDel="00000000" w:rsidR="00000000" w:rsidRPr="00000000">
        <w:rPr>
          <w:color w:val="000000"/>
          <w:rtl w:val="0"/>
        </w:rPr>
        <w:t xml:space="preserve">yllabus: Current </w:t>
      </w:r>
      <w:r w:rsidDel="00000000" w:rsidR="00000000" w:rsidRPr="00000000">
        <w:rPr>
          <w:rtl w:val="0"/>
        </w:rPr>
        <w:t xml:space="preserve">b</w:t>
      </w:r>
      <w:r w:rsidDel="00000000" w:rsidR="00000000" w:rsidRPr="00000000">
        <w:rPr>
          <w:color w:val="000000"/>
          <w:rtl w:val="0"/>
        </w:rPr>
        <w:t xml:space="preserve">est </w:t>
      </w:r>
      <w:r w:rsidDel="00000000" w:rsidR="00000000" w:rsidRPr="00000000">
        <w:rPr>
          <w:rtl w:val="0"/>
        </w:rPr>
        <w:t xml:space="preserve">p</w:t>
      </w:r>
      <w:r w:rsidDel="00000000" w:rsidR="00000000" w:rsidRPr="00000000">
        <w:rPr>
          <w:color w:val="000000"/>
          <w:rtl w:val="0"/>
        </w:rPr>
        <w:t xml:space="preserve">ractices. </w:t>
      </w:r>
      <w:r w:rsidDel="00000000" w:rsidR="00000000" w:rsidRPr="00000000">
        <w:rPr>
          <w:i w:val="1"/>
          <w:iCs w:val="1"/>
          <w:color w:val="000000"/>
          <w:rtl w:val="0"/>
        </w:rPr>
        <w:t xml:space="preserve">College Teaching</w:t>
      </w:r>
      <w:r w:rsidDel="00000000" w:rsidR="00000000" w:rsidRPr="00000000">
        <w:rPr>
          <w:color w:val="000000"/>
          <w:rtl w:val="0"/>
        </w:rPr>
        <w:t xml:space="preserve">, </w:t>
      </w:r>
      <w:r w:rsidDel="00000000" w:rsidR="00000000" w:rsidRPr="00000000">
        <w:rPr>
          <w:i w:val="1"/>
          <w:iCs w:val="1"/>
          <w:color w:val="000000"/>
          <w:rtl w:val="0"/>
        </w:rPr>
        <w:t xml:space="preserve">53</w:t>
      </w:r>
      <w:r w:rsidDel="00000000" w:rsidR="00000000" w:rsidRPr="00000000">
        <w:rPr>
          <w:color w:val="000000"/>
          <w:rtl w:val="0"/>
        </w:rPr>
        <w:t xml:space="preserve">(4), 159</w:t>
      </w:r>
      <w:r w:rsidDel="00000000" w:rsidR="00000000" w:rsidRPr="00000000">
        <w:rPr>
          <w:rtl w:val="0"/>
        </w:rPr>
        <w:t xml:space="preserve">-</w:t>
      </w:r>
      <w:r w:rsidDel="00000000" w:rsidR="00000000" w:rsidRPr="00000000">
        <w:rPr>
          <w:color w:val="000000"/>
          <w:rtl w:val="0"/>
        </w:rPr>
        <w:t xml:space="preserve">164. </w:t>
      </w:r>
      <w:hyperlink r:id="rId24">
        <w:r w:rsidDel="00000000" w:rsidR="00000000" w:rsidRPr="00000000">
          <w:rPr>
            <w:color w:val="1155cc"/>
            <w:u w:val="single"/>
            <w:rtl w:val="0"/>
          </w:rPr>
          <w:t xml:space="preserve">USC Libraries link</w:t>
        </w:r>
      </w:hyperlink>
      <w:r w:rsidDel="00000000" w:rsidR="00000000" w:rsidRPr="00000000">
        <w:rPr>
          <w:color w:val="000000"/>
          <w:rtl w:val="0"/>
        </w:rPr>
        <w:t xml:space="preserve">.</w:t>
      </w:r>
    </w:p>
    <w:p w:rsidR="00000000" w:rsidDel="00000000" w:rsidP="00000000" w:rsidRDefault="00000000" w:rsidRPr="00000000" w14:paraId="00000018">
      <w:pPr>
        <w:ind w:left="720"/>
        <w:rPr/>
      </w:pPr>
      <w:r w:rsidDel="00000000" w:rsidR="00000000" w:rsidRPr="00000000">
        <w:rPr>
          <w:rtl w:val="0"/>
        </w:rPr>
        <w:t xml:space="preserve">Wang, X., Su, Y., Cheung, S., Wong, E., &amp; Kwong, T. (2013). An exploration of Biggs’ constructive alignment in course design and its impact on students’ learning approaches. </w:t>
      </w:r>
      <w:r w:rsidDel="00000000" w:rsidR="00000000" w:rsidRPr="00000000">
        <w:rPr>
          <w:i w:val="1"/>
          <w:iCs w:val="1"/>
          <w:rtl w:val="0"/>
        </w:rPr>
        <w:t xml:space="preserve">Assessment &amp; Evaluation in Higher Education</w:t>
      </w:r>
      <w:r w:rsidDel="00000000" w:rsidR="00000000" w:rsidRPr="00000000">
        <w:rPr>
          <w:rtl w:val="0"/>
        </w:rPr>
        <w:t xml:space="preserve">, </w:t>
      </w:r>
      <w:r w:rsidDel="00000000" w:rsidR="00000000" w:rsidRPr="00000000">
        <w:rPr>
          <w:i w:val="1"/>
          <w:iCs w:val="1"/>
          <w:rtl w:val="0"/>
        </w:rPr>
        <w:t xml:space="preserve">38</w:t>
      </w:r>
      <w:r w:rsidDel="00000000" w:rsidR="00000000" w:rsidRPr="00000000">
        <w:rPr>
          <w:rtl w:val="0"/>
        </w:rPr>
        <w:t xml:space="preserve">(4), 477-491. </w:t>
      </w:r>
      <w:hyperlink r:id="rId25">
        <w:r w:rsidDel="00000000" w:rsidR="00000000" w:rsidRPr="00000000">
          <w:rPr>
            <w:color w:val="1155cc"/>
            <w:u w:val="single"/>
            <w:rtl w:val="0"/>
          </w:rPr>
          <w:t xml:space="preserve">USC Libraries link</w:t>
        </w:r>
      </w:hyperlink>
      <w:r w:rsidDel="00000000" w:rsidR="00000000" w:rsidRPr="00000000">
        <w:rPr>
          <w:rtl w:val="0"/>
        </w:rPr>
        <w:t xml:space="preserve">.</w:t>
      </w:r>
    </w:p>
    <w:p w:rsidR="00000000" w:rsidDel="00000000" w:rsidP="00000000" w:rsidRDefault="00000000" w:rsidRPr="00000000" w14:paraId="00000019">
      <w:pPr>
        <w:ind w:left="720" w:hanging="720"/>
        <w:rPr>
          <w:rFonts w:ascii="Calibri" w:cs="Calibri" w:eastAsia="Calibri" w:hAnsi="Calibri"/>
          <w:b w:val="0"/>
          <w:bCs w:val="0"/>
          <w:i w:val="0"/>
          <w:iCs w:val="0"/>
          <w:smallCaps w:val="0"/>
          <w:strike w:val="0"/>
          <w:color w:val="000000"/>
          <w:sz w:val="24"/>
          <w:szCs w:val="24"/>
          <w:u w:val="none"/>
          <w:shd w:fill="auto" w:val="clear"/>
          <w:vertAlign w:val="baseline"/>
        </w:rPr>
        <w:sectPr>
          <w:footerReference r:id="rId26" w:type="default"/>
          <w:footerReference r:id="rId27" w:type="even"/>
          <w:pgSz w:h="15840" w:w="12240" w:orient="portrait"/>
          <w:pgMar w:bottom="1080" w:top="1080" w:left="1080" w:right="1080" w:header="0" w:footer="317"/>
          <w:pgNumType w:start="1"/>
        </w:sectPr>
      </w:pPr>
      <w:r w:rsidDel="00000000" w:rsidR="00000000" w:rsidRPr="00000000">
        <w:rPr>
          <w:color w:val="000000"/>
          <w:rtl w:val="0"/>
        </w:rPr>
        <w:t xml:space="preserve">‌Wheeler, L. B., Palmer, M., &amp; Aneece, I. (2019). Students’ </w:t>
      </w:r>
      <w:r w:rsidDel="00000000" w:rsidR="00000000" w:rsidRPr="00000000">
        <w:rPr>
          <w:rtl w:val="0"/>
        </w:rPr>
        <w:t xml:space="preserve">p</w:t>
      </w:r>
      <w:r w:rsidDel="00000000" w:rsidR="00000000" w:rsidRPr="00000000">
        <w:rPr>
          <w:color w:val="000000"/>
          <w:rtl w:val="0"/>
        </w:rPr>
        <w:t xml:space="preserve">erceptions of </w:t>
      </w:r>
      <w:r w:rsidDel="00000000" w:rsidR="00000000" w:rsidRPr="00000000">
        <w:rPr>
          <w:rtl w:val="0"/>
        </w:rPr>
        <w:t xml:space="preserve">c</w:t>
      </w:r>
      <w:r w:rsidDel="00000000" w:rsidR="00000000" w:rsidRPr="00000000">
        <w:rPr>
          <w:color w:val="000000"/>
          <w:rtl w:val="0"/>
        </w:rPr>
        <w:t xml:space="preserve">ourse </w:t>
      </w:r>
      <w:r w:rsidDel="00000000" w:rsidR="00000000" w:rsidRPr="00000000">
        <w:rPr>
          <w:rtl w:val="0"/>
        </w:rPr>
        <w:t xml:space="preserve">s</w:t>
      </w:r>
      <w:r w:rsidDel="00000000" w:rsidR="00000000" w:rsidRPr="00000000">
        <w:rPr>
          <w:color w:val="000000"/>
          <w:rtl w:val="0"/>
        </w:rPr>
        <w:t xml:space="preserve">yllabi: The </w:t>
      </w:r>
      <w:r w:rsidDel="00000000" w:rsidR="00000000" w:rsidRPr="00000000">
        <w:rPr>
          <w:rtl w:val="0"/>
        </w:rPr>
        <w:t xml:space="preserve">r</w:t>
      </w:r>
      <w:r w:rsidDel="00000000" w:rsidR="00000000" w:rsidRPr="00000000">
        <w:rPr>
          <w:color w:val="000000"/>
          <w:rtl w:val="0"/>
        </w:rPr>
        <w:t xml:space="preserve">ole of </w:t>
      </w:r>
      <w:r w:rsidDel="00000000" w:rsidR="00000000" w:rsidRPr="00000000">
        <w:rPr>
          <w:rtl w:val="0"/>
        </w:rPr>
        <w:t xml:space="preserve">s</w:t>
      </w:r>
      <w:r w:rsidDel="00000000" w:rsidR="00000000" w:rsidRPr="00000000">
        <w:rPr>
          <w:color w:val="000000"/>
          <w:rtl w:val="0"/>
        </w:rPr>
        <w:t xml:space="preserve">yllabi in </w:t>
      </w:r>
      <w:r w:rsidDel="00000000" w:rsidR="00000000" w:rsidRPr="00000000">
        <w:rPr>
          <w:rtl w:val="0"/>
        </w:rPr>
        <w:t xml:space="preserve">m</w:t>
      </w:r>
      <w:r w:rsidDel="00000000" w:rsidR="00000000" w:rsidRPr="00000000">
        <w:rPr>
          <w:color w:val="000000"/>
          <w:rtl w:val="0"/>
        </w:rPr>
        <w:t xml:space="preserve">otivating </w:t>
      </w:r>
      <w:r w:rsidDel="00000000" w:rsidR="00000000" w:rsidRPr="00000000">
        <w:rPr>
          <w:rtl w:val="0"/>
        </w:rPr>
        <w:t xml:space="preserve">st</w:t>
      </w:r>
      <w:r w:rsidDel="00000000" w:rsidR="00000000" w:rsidRPr="00000000">
        <w:rPr>
          <w:color w:val="000000"/>
          <w:rtl w:val="0"/>
        </w:rPr>
        <w:t xml:space="preserve">udents. </w:t>
      </w:r>
      <w:r w:rsidDel="00000000" w:rsidR="00000000" w:rsidRPr="00000000">
        <w:rPr>
          <w:i w:val="1"/>
          <w:iCs w:val="1"/>
          <w:color w:val="000000"/>
          <w:rtl w:val="0"/>
        </w:rPr>
        <w:t xml:space="preserve">International Journal for the Scholarship of Teaching and Learning</w:t>
      </w:r>
      <w:r w:rsidDel="00000000" w:rsidR="00000000" w:rsidRPr="00000000">
        <w:rPr>
          <w:color w:val="000000"/>
          <w:rtl w:val="0"/>
        </w:rPr>
        <w:t xml:space="preserve">, </w:t>
      </w:r>
      <w:r w:rsidDel="00000000" w:rsidR="00000000" w:rsidRPr="00000000">
        <w:rPr>
          <w:i w:val="1"/>
          <w:iCs w:val="1"/>
          <w:color w:val="000000"/>
          <w:rtl w:val="0"/>
        </w:rPr>
        <w:t xml:space="preserve">13</w:t>
      </w:r>
      <w:r w:rsidDel="00000000" w:rsidR="00000000" w:rsidRPr="00000000">
        <w:rPr>
          <w:color w:val="000000"/>
          <w:rtl w:val="0"/>
        </w:rPr>
        <w:t xml:space="preserve">(3). </w:t>
      </w:r>
      <w:hyperlink r:id="rId28">
        <w:r w:rsidDel="00000000" w:rsidR="00000000" w:rsidRPr="00000000">
          <w:rPr>
            <w:color w:val="1155cc"/>
            <w:u w:val="single"/>
            <w:rtl w:val="0"/>
          </w:rPr>
          <w:t xml:space="preserve">USC Libraries link</w:t>
        </w:r>
      </w:hyperlink>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720" w:right="0" w:hanging="7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pStyle w:val="Heading2"/>
        <w:rPr/>
      </w:pPr>
      <w:bookmarkStart w:colFirst="0" w:colLast="0" w:name="_heading=h.tqybhwffzip6" w:id="3"/>
      <w:bookmarkEnd w:id="3"/>
      <w:r w:rsidDel="00000000" w:rsidR="00000000" w:rsidRPr="00000000">
        <w:rPr>
          <w:rtl w:val="0"/>
        </w:rPr>
        <w:t xml:space="preserve">Example Analytical Rubric–3 Performance Levels</w:t>
      </w:r>
    </w:p>
    <w:tbl>
      <w:tblPr>
        <w:tblStyle w:val="Table1"/>
        <w:tblW w:w="10060.0" w:type="dxa"/>
        <w:jc w:val="left"/>
        <w:tblLayout w:type="fixed"/>
        <w:tblLook w:val="0400"/>
      </w:tblPr>
      <w:tblGrid>
        <w:gridCol w:w="2210"/>
        <w:gridCol w:w="2713"/>
        <w:gridCol w:w="2518"/>
        <w:gridCol w:w="2619"/>
        <w:tblGridChange w:id="0">
          <w:tblGrid>
            <w:gridCol w:w="2210"/>
            <w:gridCol w:w="2713"/>
            <w:gridCol w:w="2518"/>
            <w:gridCol w:w="2619"/>
          </w:tblGrid>
        </w:tblGridChange>
      </w:tblGrid>
      <w:tr>
        <w:trPr>
          <w:cantSplit w:val="1"/>
          <w:trHeight w:val="785" w:hRule="atLeast"/>
          <w:tblHeader w:val="1"/>
        </w:trP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27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Criteria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Below Expectations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0" w:right="-105"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Meets Expectations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Exceeds Expectations</w:t>
            </w:r>
            <w:r w:rsidDel="00000000" w:rsidR="00000000" w:rsidRPr="00000000">
              <w:rPr>
                <w:rtl w:val="0"/>
              </w:rPr>
            </w:r>
          </w:p>
        </w:tc>
      </w:tr>
      <w:tr>
        <w:trPr>
          <w:cantSplit w:val="1"/>
          <w:trHeight w:val="1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Clarity and Specificity of Learning Objectives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Objectives are missing or not stated in observable terms.</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Objectives are stated but use general or vague language, but are easy to locate.</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Objectives are written as easily understandable, measurable outcomes using action verbs and are easy to locate in the syllabus.</w:t>
            </w:r>
          </w:p>
        </w:tc>
      </w:tr>
      <w:tr>
        <w:trPr>
          <w:cantSplit w:val="1"/>
          <w:trHeight w:val="1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Alignment of Objectives, Activities, and Assessments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Objectives, activities, or assessments are present but no explicit connection between them is shown.</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Objectives, activities, and assessments are listed with a grading table, but their connection is not explicit.</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Syllabus contains an explicit explanation showing which activities and assessments correspond to each objective.</w:t>
            </w:r>
          </w:p>
        </w:tc>
      </w:tr>
      <w:tr>
        <w:trPr>
          <w:cantSplit w:val="1"/>
          <w:trHeight w:val="1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Transparency and Fairness of Assessment and Grading Policies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Grading weights/points or key grading policies are missing or contradictory.</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Assessment and grading table and most policies are present, but one key grading policy or element is unclear or absent.</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Assessment and grading table, late and make-up policies, and grade calculation information/rules are all explicit and complete.</w:t>
            </w:r>
          </w:p>
        </w:tc>
      </w:tr>
      <w:tr>
        <w:trPr>
          <w:cantSplit w:val="1"/>
          <w:trHeight w:val="1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Accessibility and Accommodations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accommodations statement or only a vague reference to disability services.</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basic accommodations statement is included but lacks process details or contact information.</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Syllabus gives clear contact information, steps for requesting accommodations, and references to institutional services.</w:t>
            </w:r>
          </w:p>
        </w:tc>
      </w:tr>
      <w:tr>
        <w:trPr>
          <w:cantSplit w:val="1"/>
          <w:trHeight w:val="13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Promotion of Student Engagement and Study Practice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Engagement expectations are absent or only vaguely implied.</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Participation elements are listed but study guidance or expectations are incomplete.</w:t>
            </w:r>
          </w:p>
        </w:tc>
        <w:tc>
          <w:tcPr>
            <w:tcBorders>
              <w:top w:color="000000" w:space="0" w:sz="8" w:val="single"/>
              <w:left w:color="000000" w:space="0" w:sz="8" w:val="single"/>
              <w:bottom w:color="000000" w:space="0" w:sz="8" w:val="single"/>
              <w:right w:color="000000" w:space="0" w:sz="8" w:val="single"/>
            </w:tcBorders>
            <w:tcMar>
              <w:top w:w="72.0" w:type="dxa"/>
              <w:left w:w="72.0" w:type="dxa"/>
              <w:bottom w:w="72.0" w:type="dxa"/>
              <w:right w:w="72.0" w:type="dxa"/>
            </w:tcMa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Syllabus specifies required participation or preparation activities and provides guidance on how students should prepare.</w:t>
            </w:r>
          </w:p>
        </w:tc>
      </w:tr>
    </w:tbl>
    <w:p w:rsidR="00000000" w:rsidDel="00000000" w:rsidP="00000000" w:rsidRDefault="00000000" w:rsidRPr="00000000" w14:paraId="00000037">
      <w:pPr>
        <w:pStyle w:val="Heading2"/>
        <w:rPr/>
      </w:pPr>
      <w:r w:rsidDel="00000000" w:rsidR="00000000" w:rsidRPr="00000000">
        <w:rPr>
          <w:rtl w:val="0"/>
        </w:rPr>
      </w:r>
    </w:p>
    <w:p w:rsidR="00000000" w:rsidDel="00000000" w:rsidP="00000000" w:rsidRDefault="00000000" w:rsidRPr="00000000" w14:paraId="00000038">
      <w:pPr>
        <w:pStyle w:val="Heading2"/>
        <w:rPr/>
      </w:pPr>
      <w:r w:rsidDel="00000000" w:rsidR="00000000" w:rsidRPr="00000000">
        <w:rPr>
          <w:rtl w:val="0"/>
        </w:rPr>
      </w:r>
    </w:p>
    <w:p w:rsidR="00000000" w:rsidDel="00000000" w:rsidP="00000000" w:rsidRDefault="00000000" w:rsidRPr="00000000" w14:paraId="00000039">
      <w:pPr>
        <w:pStyle w:val="Heading2"/>
        <w:rPr/>
      </w:pPr>
      <w:r w:rsidDel="00000000" w:rsidR="00000000" w:rsidRPr="00000000">
        <w:rPr>
          <w:rtl w:val="0"/>
        </w:rPr>
        <w:t xml:space="preserve">Example Analytical Rubric–5 Performance Levels</w:t>
      </w:r>
    </w:p>
    <w:tbl>
      <w:tblPr>
        <w:tblStyle w:val="Table2"/>
        <w:tblW w:w="10060.0" w:type="dxa"/>
        <w:jc w:val="left"/>
        <w:tblLayout w:type="fixed"/>
        <w:tblLook w:val="0400"/>
      </w:tblPr>
      <w:tblGrid>
        <w:gridCol w:w="1700"/>
        <w:gridCol w:w="1710"/>
        <w:gridCol w:w="1554"/>
        <w:gridCol w:w="1686"/>
        <w:gridCol w:w="1800"/>
        <w:gridCol w:w="1610"/>
        <w:tblGridChange w:id="0">
          <w:tblGrid>
            <w:gridCol w:w="1700"/>
            <w:gridCol w:w="1710"/>
            <w:gridCol w:w="1554"/>
            <w:gridCol w:w="1686"/>
            <w:gridCol w:w="1800"/>
            <w:gridCol w:w="1610"/>
          </w:tblGrid>
        </w:tblGridChange>
      </w:tblGrid>
      <w:tr>
        <w:trPr>
          <w:cantSplit w:val="1"/>
          <w:trHeight w:val="708" w:hRule="atLeast"/>
          <w:tblHeader w:val="1"/>
        </w:trP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Criteria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1  </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Not Present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2 </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Minimal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3</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Some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4 </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Strong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5</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Outstanding</w:t>
            </w:r>
            <w:r w:rsidDel="00000000" w:rsidR="00000000" w:rsidRPr="00000000">
              <w:rPr>
                <w:rtl w:val="0"/>
              </w:rPr>
            </w:r>
          </w:p>
        </w:tc>
      </w:tr>
      <w:tr>
        <w:trPr>
          <w:cantSplit w:val="1"/>
          <w:trHeight w:val="10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Clarity and Specificity of Learning Objectives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learning objectives provided.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Objectives present, but not easily found, or lack observable verbs or clarity.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Objectives are easy to find but often use vague language.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Objectives are measurable but phrased at mixed levels of clarity or specificity.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Objectives are easy to find, clear, measurable, and student-centered.</w:t>
            </w:r>
          </w:p>
        </w:tc>
      </w:tr>
      <w:tr>
        <w:trPr>
          <w:cantSplit w:val="1"/>
          <w:trHeight w:val="1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Alignment of Objectives, Activities, and Assessments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Some or all activities or assessments are missing.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Objectives and activities or assessments are listed, but are largely unconnected.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Some objectives are connected to activities or assessments; several connections are missing or unclear.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Clear objectives and activities or assessment plan with obvious implied correspondence but not made explicit for students.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Explicit explanation of which activities or assessments correspond to each objective.</w:t>
            </w:r>
          </w:p>
        </w:tc>
      </w:tr>
      <w:tr>
        <w:trPr>
          <w:cantSplit w:val="1"/>
          <w:trHeight w:val="1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Transparency and Fairness of Assessment and Grading Policies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grading breakdown or policies included.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Only partial grading information provided.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Grading weights/points are present but key grading policies are unclear or missing.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Assessment and grading table and most policies provided; some key details missing.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Full assessment and grading table, late and make-up rules, and dispute process are present.</w:t>
            </w:r>
          </w:p>
        </w:tc>
      </w:tr>
      <w:tr>
        <w:trPr>
          <w:cantSplit w:val="1"/>
          <w:trHeight w:val="1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Accessibility and Accommodations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mention of accommodations or accessibility.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Brief reference to disability services without contact information.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general accommodations statement is present but lacks actionable details.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Accommodation contact and basic process are provided.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Clear, actionable accommodation instructions with contact information and references to campus resources.</w:t>
            </w:r>
          </w:p>
        </w:tc>
      </w:tr>
      <w:tr>
        <w:trPr>
          <w:cantSplit w:val="1"/>
          <w:trHeight w:val="1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Promotion of Student Engagement and Study Practice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evidence of engagement requirements or guidance.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Engagement mentioned only as desirable behavior with no required activities.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Some engagement elements listed but expectations or assessment connections are unclear.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Engagement activities and assessment connections described but without time estimates or study guidance.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Syllabus describes required participation or preparation activities, expected study time, and how engagement is assessed.</w:t>
            </w:r>
          </w:p>
        </w:tc>
      </w:tr>
    </w:tbl>
    <w:p w:rsidR="00000000" w:rsidDel="00000000" w:rsidP="00000000" w:rsidRDefault="00000000" w:rsidRPr="00000000" w14:paraId="00000063">
      <w:pPr>
        <w:pStyle w:val="Heading2"/>
        <w:rPr/>
      </w:pPr>
      <w:bookmarkStart w:colFirst="0" w:colLast="0" w:name="_heading=h.5rjv46lzim6c" w:id="4"/>
      <w:bookmarkEnd w:id="4"/>
      <w:r w:rsidDel="00000000" w:rsidR="00000000" w:rsidRPr="00000000">
        <w:rPr>
          <w:rtl w:val="0"/>
        </w:rPr>
      </w:r>
    </w:p>
    <w:p w:rsidR="00000000" w:rsidDel="00000000" w:rsidP="00000000" w:rsidRDefault="00000000" w:rsidRPr="00000000" w14:paraId="00000064">
      <w:pPr>
        <w:pStyle w:val="Heading2"/>
        <w:rPr/>
      </w:pPr>
      <w:r w:rsidDel="00000000" w:rsidR="00000000" w:rsidRPr="00000000">
        <w:rPr>
          <w:rtl w:val="0"/>
        </w:rPr>
        <w:t xml:space="preserve">Statement of AI Use in This Resource</w:t>
      </w:r>
    </w:p>
    <w:p w:rsidR="00000000" w:rsidDel="00000000" w:rsidP="00000000" w:rsidRDefault="00000000" w:rsidRPr="00000000" w14:paraId="00000065">
      <w:pPr>
        <w:rPr/>
      </w:pPr>
      <w:bookmarkStart w:colFirst="0" w:colLast="0" w:name="_heading=h.pvig6qu8ddce" w:id="5"/>
      <w:bookmarkEnd w:id="5"/>
      <w:r w:rsidDel="00000000" w:rsidR="00000000" w:rsidRPr="00000000">
        <w:rPr>
          <w:b w:val="1"/>
          <w:bCs w:val="1"/>
          <w:rtl w:val="0"/>
        </w:rPr>
        <w:t xml:space="preserve">This resource was created with AI assistance.</w:t>
      </w:r>
      <w:r w:rsidDel="00000000" w:rsidR="00000000" w:rsidRPr="00000000">
        <w:rPr>
          <w:rtl w:val="0"/>
        </w:rPr>
        <w:t xml:space="preserve"> CET frames, develops, enhances, and vets all AI-assisted content to ensure accuracy, clarity, usefulness to instructors, and alignment with CET standards and USC policies. AI is used to generate outlines from templates, examples and use cases, and recommendations for editing.</w:t>
      </w:r>
    </w:p>
    <w:p w:rsidR="00000000" w:rsidDel="00000000" w:rsidP="00000000" w:rsidRDefault="00000000" w:rsidRPr="00000000" w14:paraId="00000066">
      <w:pPr>
        <w:pStyle w:val="Heading2"/>
        <w:rPr/>
      </w:pPr>
      <w:r w:rsidDel="00000000" w:rsidR="00000000" w:rsidRPr="00000000">
        <w:rPr>
          <w:rtl w:val="0"/>
        </w:rPr>
      </w:r>
    </w:p>
    <w:sectPr>
      <w:type w:val="nextPage"/>
      <w:pgSz w:h="15840" w:w="12240" w:orient="portrait"/>
      <w:pgMar w:bottom="1080" w:top="1080" w:left="1080" w:right="1080" w:header="0" w:footer="31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8">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9">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A">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jc w:val="right"/>
      <w:rPr>
        <w:sz w:val="20"/>
        <w:szCs w:val="20"/>
      </w:rPr>
    </w:pPr>
    <w:r w:rsidDel="00000000" w:rsidR="00000000" w:rsidRPr="00000000">
      <w:rPr>
        <w:sz w:val="20"/>
        <w:szCs w:val="20"/>
        <w:rtl w:val="0"/>
      </w:rPr>
      <w:t xml:space="preserve">page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Calibri" w:cs="Calibri" w:eastAsia="Calibri" w:hAnsi="Calibri"/>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240" w:before="2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360" w:before="360" w:lineRule="auto"/>
      <w:jc w:val="center"/>
    </w:pPr>
    <w:rPr>
      <w:color w:val="991b1e"/>
      <w:sz w:val="52"/>
      <w:szCs w:val="52"/>
    </w:rPr>
  </w:style>
  <w:style w:type="paragraph" w:styleId="Heading2">
    <w:name w:val="heading 2"/>
    <w:basedOn w:val="Normal"/>
    <w:next w:val="Normal"/>
    <w:pPr/>
    <w:rPr>
      <w:b w:val="1"/>
      <w:bCs w:val="1"/>
      <w:color w:val="991b1e"/>
    </w:rPr>
  </w:style>
  <w:style w:type="paragraph" w:styleId="Heading3">
    <w:name w:val="heading 3"/>
    <w:basedOn w:val="Normal"/>
    <w:next w:val="Normal"/>
    <w:pPr>
      <w:keepNext w:val="1"/>
      <w:keepLines w:val="1"/>
    </w:pPr>
    <w:rPr>
      <w:color w:val="991b1e"/>
      <w:sz w:val="40"/>
      <w:szCs w:val="40"/>
    </w:rPr>
  </w:style>
  <w:style w:type="paragraph" w:styleId="Heading4">
    <w:name w:val="heading 4"/>
    <w:basedOn w:val="Normal"/>
    <w:next w:val="Normal"/>
    <w:pPr>
      <w:keepNext w:val="1"/>
      <w:keepLines w:val="1"/>
    </w:pPr>
    <w:rPr>
      <w:color w:val="991b1e"/>
      <w:sz w:val="32"/>
      <w:szCs w:val="32"/>
    </w:rPr>
  </w:style>
  <w:style w:type="paragraph" w:styleId="Heading5">
    <w:name w:val="heading 5"/>
    <w:basedOn w:val="Normal"/>
    <w:next w:val="Normal"/>
    <w:pPr>
      <w:keepNext w:val="1"/>
      <w:keepLines w:val="1"/>
    </w:pPr>
    <w:rPr>
      <w:color w:val="991b1e"/>
      <w:sz w:val="28"/>
      <w:szCs w:val="28"/>
    </w:rPr>
  </w:style>
  <w:style w:type="paragraph" w:styleId="Heading6">
    <w:name w:val="heading 6"/>
    <w:basedOn w:val="Normal"/>
    <w:next w:val="Normal"/>
    <w:pPr>
      <w:keepNext w:val="1"/>
      <w:keepLines w:val="1"/>
    </w:pPr>
    <w:rPr>
      <w:color w:val="991b1e"/>
    </w:rPr>
  </w:style>
  <w:style w:type="paragraph" w:styleId="Title">
    <w:name w:val="Title"/>
    <w:basedOn w:val="Normal"/>
    <w:next w:val="Normal"/>
    <w:pPr/>
    <w:rPr>
      <w:sz w:val="56"/>
      <w:szCs w:val="56"/>
    </w:rPr>
  </w:style>
  <w:style w:type="paragraph" w:styleId="Subtitle">
    <w:name w:val="Subtitle"/>
    <w:basedOn w:val="Normal"/>
    <w:next w:val="Normal"/>
    <w:pPr>
      <w:spacing w:after="160" w:lineRule="auto"/>
    </w:pPr>
    <w:rPr>
      <w:color w:val="5a5a5a"/>
      <w:sz w:val="22"/>
      <w:szCs w:val="22"/>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uosc.primo.exlibrisgroup.com/permalink/01USC_INST/pupspc/cdi_crossref_citationtrail_10_3389_feduc_2018_00069" TargetMode="External"/><Relationship Id="rId22" Type="http://schemas.openxmlformats.org/officeDocument/2006/relationships/hyperlink" Target="https://uosc.primo.exlibrisgroup.com/permalink/01USC_INST/pupspc/cdi_proquest_miscellaneous_2185563707" TargetMode="External"/><Relationship Id="rId21" Type="http://schemas.openxmlformats.org/officeDocument/2006/relationships/hyperlink" Target="https://link.springer.com/article/10.1007/BF00138871" TargetMode="External"/><Relationship Id="rId24" Type="http://schemas.openxmlformats.org/officeDocument/2006/relationships/hyperlink" Target="https://uosc.primo.exlibrisgroup.com/permalink/01USC_INST/pupspc/cdi_eric_primary_EJ725837" TargetMode="External"/><Relationship Id="rId23" Type="http://schemas.openxmlformats.org/officeDocument/2006/relationships/hyperlink" Target="https://www.tandfonline.com/doi/full/10.1080/08856257.2021.194000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osc.primo.exlibrisgroup.com/permalink/01USC_INST/pupspc/cdi_eric_primary_EJ725837" TargetMode="External"/><Relationship Id="rId26" Type="http://schemas.openxmlformats.org/officeDocument/2006/relationships/footer" Target="footer2.xml"/><Relationship Id="rId25" Type="http://schemas.openxmlformats.org/officeDocument/2006/relationships/hyperlink" Target="https://uosc.primo.exlibrisgroup.com/permalink/01USC_INST/pupspc/cdi_proquest_journals_1349788915" TargetMode="External"/><Relationship Id="rId28" Type="http://schemas.openxmlformats.org/officeDocument/2006/relationships/hyperlink" Target="https://uosc.primo.exlibrisgroup.com/permalink/01USC_INST/pupspc/cdi_doaj_primary_oai_doaj_org_article_d82fc591e49c4c18865cae76c22fb5a8" TargetMode="Externa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uosc.primo.exlibrisgroup.com/permalink/01USC_INST/pupspc/cdi_proquest_miscellaneous_2185563707" TargetMode="External"/><Relationship Id="rId11" Type="http://schemas.openxmlformats.org/officeDocument/2006/relationships/hyperlink" Target="https://uosc.primo.exlibrisgroup.com/permalink/01USC_INST/pupspc/cdi_proquest_miscellaneous_2185563707" TargetMode="External"/><Relationship Id="rId10" Type="http://schemas.openxmlformats.org/officeDocument/2006/relationships/hyperlink" Target="https://cet.usc.edu/usc-definition-of-excellence-in-teaching/" TargetMode="External"/><Relationship Id="rId13" Type="http://schemas.openxmlformats.org/officeDocument/2006/relationships/hyperlink" Target="https://uosc.primo.exlibrisgroup.com/permalink/01USC_INST/pupspc/cdi_proquest_miscellaneous_2185563707" TargetMode="External"/><Relationship Id="rId12" Type="http://schemas.openxmlformats.org/officeDocument/2006/relationships/hyperlink" Target="https://uosc.primo.exlibrisgroup.com/permalink/01USC_INST/pupspc/cdi_proquest_miscellaneous_2185563707" TargetMode="External"/><Relationship Id="rId15" Type="http://schemas.openxmlformats.org/officeDocument/2006/relationships/hyperlink" Target="https://uosc.primo.exlibrisgroup.com/permalink/01USC_INST/pupspc/cdi_proquest_journals_1349788915" TargetMode="External"/><Relationship Id="rId14" Type="http://schemas.openxmlformats.org/officeDocument/2006/relationships/hyperlink" Target="https://link.springer.com/article/10.1007/BF00138871" TargetMode="External"/><Relationship Id="rId17" Type="http://schemas.openxmlformats.org/officeDocument/2006/relationships/hyperlink" Target="https://uosc.primo.exlibrisgroup.com/permalink/01USC_INST/pupspc/cdi_crossref_citationtrail_10_3389_feduc_2018_00069" TargetMode="External"/><Relationship Id="rId16" Type="http://schemas.openxmlformats.org/officeDocument/2006/relationships/hyperlink" Target="https://journals.sagepub.com/doi/10.1177/0098628320959979" TargetMode="External"/><Relationship Id="rId19" Type="http://schemas.openxmlformats.org/officeDocument/2006/relationships/hyperlink" Target="https://uosc.primo.exlibrisgroup.com/permalink/01USC_INST/pupspc/cdi_doaj_primary_oai_doaj_org_article_d82fc591e49c4c18865cae76c22fb5a8" TargetMode="External"/><Relationship Id="rId18" Type="http://schemas.openxmlformats.org/officeDocument/2006/relationships/hyperlink" Target="https://www.tandfonline.com/doi/full/10.1080/08856257.2021.1940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Fzw0JNlSfBi6ob/0c9tLbCjIHg==">CgMxLjAyDmgubjRicTJ0Y29pdjNyMg5oLjVlZHZudmpnbzFibDIOaC4yY2FhMHJ5YWQ1YXYyDmgudHF5Ymh3ZmZ6aXA2Mg5oLjVyanY0Nmx6aW02YzIOaC5wdmlnNnF1OGRkY2U4AHIhMWU0eGoyYlUzUll6ZWg5MGhHWUkxSDFwaUNZSVBfUzha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