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7943" w14:textId="58BB4998" w:rsidR="00276642" w:rsidRDefault="000D6F02" w:rsidP="009C4CBC">
      <w:pPr>
        <w:pStyle w:val="BodyText"/>
        <w:tabs>
          <w:tab w:val="left" w:pos="8820"/>
        </w:tabs>
      </w:pPr>
      <w:r>
        <w:rPr>
          <w:noProof/>
        </w:rPr>
        <w:drawing>
          <wp:inline distT="114300" distB="114300" distL="114300" distR="114300" wp14:anchorId="497A0D08" wp14:editId="2B8CF80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20D5ECD" w14:textId="50D574DE" w:rsidR="00101A65" w:rsidRDefault="00101A65" w:rsidP="00101A65">
      <w:pPr>
        <w:rPr>
          <w:rFonts w:ascii="Calibri" w:eastAsia="Calibri" w:hAnsi="Calibri" w:cs="Calibri"/>
        </w:rPr>
      </w:pPr>
      <w:r>
        <w:rPr>
          <w:rFonts w:ascii="Calibri" w:eastAsia="Calibri" w:hAnsi="Calibri" w:cs="Calibri"/>
        </w:rPr>
        <w:t>in collaboration with</w:t>
      </w:r>
      <w:r>
        <w:rPr>
          <w:rFonts w:ascii="Calibri" w:eastAsia="Calibri" w:hAnsi="Calibri" w:cs="Calibri"/>
          <w:noProof/>
        </w:rPr>
        <w:drawing>
          <wp:inline distT="114300" distB="114300" distL="114300" distR="114300" wp14:anchorId="55FAA308" wp14:editId="54C46ACD">
            <wp:extent cx="2082800" cy="316374"/>
            <wp:effectExtent l="0" t="0" r="0" b="127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45258" cy="325861"/>
                    </a:xfrm>
                    <a:prstGeom prst="rect">
                      <a:avLst/>
                    </a:prstGeom>
                    <a:ln/>
                  </pic:spPr>
                </pic:pic>
              </a:graphicData>
            </a:graphic>
          </wp:inline>
        </w:drawing>
      </w:r>
    </w:p>
    <w:p w14:paraId="643F3C04" w14:textId="77777777" w:rsidR="00484EDC" w:rsidRDefault="00484EDC" w:rsidP="00101A65">
      <w:pPr>
        <w:rPr>
          <w:rFonts w:ascii="Calibri" w:eastAsia="Calibri" w:hAnsi="Calibri" w:cs="Calibri"/>
        </w:rPr>
      </w:pPr>
    </w:p>
    <w:p w14:paraId="53331E4E" w14:textId="4DB8E564" w:rsidR="00101A65" w:rsidRDefault="00101A65" w:rsidP="00101A65">
      <w:pPr>
        <w:pStyle w:val="Heading1"/>
      </w:pPr>
      <w:r>
        <w:t>Mindfulness in courses</w:t>
      </w:r>
    </w:p>
    <w:p w14:paraId="36F403CB" w14:textId="1B12D253" w:rsidR="00101A65" w:rsidRDefault="00101A65" w:rsidP="00101A65">
      <w:pPr>
        <w:pStyle w:val="Heading2"/>
        <w:rPr>
          <w:lang w:eastAsia="zh-CN"/>
        </w:rPr>
      </w:pPr>
      <w:r>
        <w:rPr>
          <w:lang w:eastAsia="zh-CN"/>
        </w:rPr>
        <w:t>WHAT IS THIS RESOURCE?</w:t>
      </w:r>
    </w:p>
    <w:p w14:paraId="08D7BCF5" w14:textId="77777777" w:rsidR="00101A65" w:rsidRPr="00101A65" w:rsidRDefault="00101A65" w:rsidP="00101A65">
      <w:pPr>
        <w:pStyle w:val="BodyText"/>
        <w:rPr>
          <w:lang w:eastAsia="zh-CN"/>
        </w:rPr>
      </w:pPr>
      <w:r w:rsidRPr="00101A65">
        <w:rPr>
          <w:lang w:eastAsia="zh-CN"/>
        </w:rPr>
        <w:t>This resource provides a brief introduction to mindfulness as well as some examples of contemplative pedagogical practices that can be incorporated into courses to support student learning and wellbeing.</w:t>
      </w:r>
    </w:p>
    <w:p w14:paraId="07265EAD" w14:textId="0DD5E92C" w:rsidR="00101A65" w:rsidRDefault="00101A65" w:rsidP="00101A65">
      <w:pPr>
        <w:pStyle w:val="Heading2"/>
        <w:rPr>
          <w:lang w:eastAsia="zh-CN"/>
        </w:rPr>
      </w:pPr>
      <w:r>
        <w:rPr>
          <w:lang w:eastAsia="zh-CN"/>
        </w:rPr>
        <w:t>HOW DO I USE IT?</w:t>
      </w:r>
    </w:p>
    <w:p w14:paraId="57E90237" w14:textId="77777777" w:rsidR="00101A65" w:rsidRDefault="00101A65" w:rsidP="00101A65">
      <w:pPr>
        <w:pStyle w:val="BodyText"/>
        <w:rPr>
          <w:lang w:eastAsia="zh-CN"/>
        </w:rPr>
      </w:pPr>
      <w:r w:rsidRPr="00101A65">
        <w:rPr>
          <w:lang w:eastAsia="zh-CN"/>
        </w:rPr>
        <w:t xml:space="preserve">Review the example strategies and considerations below when designing or revising courses to incorporate mindfulness practices that align with your course, discipline, student population or teaching style. </w:t>
      </w:r>
      <w:hyperlink r:id="rId10">
        <w:r w:rsidRPr="00101A65">
          <w:rPr>
            <w:rStyle w:val="Hyperlink"/>
            <w:lang w:eastAsia="zh-CN"/>
          </w:rPr>
          <w:t>CET</w:t>
        </w:r>
      </w:hyperlink>
      <w:r w:rsidRPr="00101A65">
        <w:rPr>
          <w:lang w:eastAsia="zh-CN"/>
        </w:rPr>
        <w:t xml:space="preserve"> is available to discuss pedagogical options for integrating mindfulness practices into your course. Contact </w:t>
      </w:r>
      <w:hyperlink r:id="rId11">
        <w:r w:rsidRPr="00101A65">
          <w:rPr>
            <w:rStyle w:val="Hyperlink"/>
            <w:lang w:eastAsia="zh-CN"/>
          </w:rPr>
          <w:t>Mindful USC</w:t>
        </w:r>
      </w:hyperlink>
      <w:r w:rsidRPr="00101A65">
        <w:rPr>
          <w:lang w:eastAsia="zh-CN"/>
        </w:rPr>
        <w:t xml:space="preserve"> to find mindfulness-related classes, programming and events designed to foster growth, health, wisdom, compassion, and connection within and among the diverse communities of USC.</w:t>
      </w:r>
    </w:p>
    <w:p w14:paraId="6CDB9BEB" w14:textId="4C1FB2A9" w:rsidR="00101A65" w:rsidRDefault="00101A65" w:rsidP="00101A65">
      <w:pPr>
        <w:pStyle w:val="Heading3"/>
        <w:rPr>
          <w:lang w:eastAsia="zh-CN"/>
        </w:rPr>
      </w:pPr>
      <w:r>
        <w:rPr>
          <w:lang w:eastAsia="zh-CN"/>
        </w:rPr>
        <w:t>What is mindfulness?</w:t>
      </w:r>
    </w:p>
    <w:p w14:paraId="5D89496B" w14:textId="278A3733" w:rsidR="00101A65" w:rsidRPr="00101A65" w:rsidRDefault="00101A65" w:rsidP="00101A65">
      <w:pPr>
        <w:pStyle w:val="BodyText"/>
        <w:rPr>
          <w:lang w:eastAsia="zh-CN"/>
        </w:rPr>
      </w:pPr>
      <w:r w:rsidRPr="00101A65">
        <w:rPr>
          <w:lang w:eastAsia="zh-CN"/>
        </w:rPr>
        <w:t xml:space="preserve">The concept of mindfulness encompasses </w:t>
      </w:r>
      <w:proofErr w:type="gramStart"/>
      <w:r w:rsidRPr="00101A65">
        <w:rPr>
          <w:lang w:eastAsia="zh-CN"/>
        </w:rPr>
        <w:t>a number of</w:t>
      </w:r>
      <w:proofErr w:type="gramEnd"/>
      <w:r w:rsidRPr="00101A65">
        <w:rPr>
          <w:lang w:eastAsia="zh-CN"/>
        </w:rPr>
        <w:t xml:space="preserve"> different ideas relating to the ability to be contemplative, to consider one’s actions, mood or physical state, and to gain new understanding from this reflection that can improve one’s academic, professional or personal life. Research has shown that incorporating mindfulness in teaching, sometimes referred to as contemplative pedagogy, can improve learning experiences for both instructors and students by increasing self-awareness and reducing stress to deepen focus and connection. </w:t>
      </w:r>
    </w:p>
    <w:p w14:paraId="1F6B7F9F" w14:textId="08E7F516" w:rsidR="00101A65" w:rsidRDefault="00101A65" w:rsidP="00101A65">
      <w:pPr>
        <w:pStyle w:val="BodyText"/>
        <w:rPr>
          <w:lang w:eastAsia="zh-CN"/>
        </w:rPr>
      </w:pPr>
      <w:r>
        <w:rPr>
          <w:lang w:eastAsia="zh-CN"/>
        </w:rPr>
        <w:t xml:space="preserve">See: </w:t>
      </w:r>
      <w:proofErr w:type="spellStart"/>
      <w:r w:rsidRPr="00101A65">
        <w:rPr>
          <w:lang w:eastAsia="zh-CN"/>
        </w:rPr>
        <w:t>Barbezat</w:t>
      </w:r>
      <w:proofErr w:type="spellEnd"/>
      <w:r w:rsidRPr="00101A65">
        <w:rPr>
          <w:lang w:eastAsia="zh-CN"/>
        </w:rPr>
        <w:t xml:space="preserve"> DP, Bush M. </w:t>
      </w:r>
      <w:hyperlink r:id="rId12">
        <w:r w:rsidRPr="00101A65">
          <w:rPr>
            <w:rStyle w:val="Hyperlink"/>
            <w:i/>
            <w:lang w:eastAsia="zh-CN"/>
          </w:rPr>
          <w:t>Contemplative Practices in Higher Education : Powerful Methods to Transform Teaching and Learning</w:t>
        </w:r>
      </w:hyperlink>
      <w:r w:rsidRPr="00101A65">
        <w:rPr>
          <w:lang w:eastAsia="zh-CN"/>
        </w:rPr>
        <w:t>. Jossey-Bass; 2014.</w:t>
      </w:r>
    </w:p>
    <w:p w14:paraId="7DCDAEA7" w14:textId="77777777" w:rsidR="00101A65" w:rsidRDefault="00101A65" w:rsidP="00101A65">
      <w:pPr>
        <w:pStyle w:val="BodyText"/>
        <w:spacing w:after="0"/>
        <w:rPr>
          <w:lang w:eastAsia="zh-CN"/>
        </w:rPr>
      </w:pPr>
    </w:p>
    <w:p w14:paraId="35B71063" w14:textId="47B916B5" w:rsidR="00101A65" w:rsidRDefault="00101A65" w:rsidP="00101A65">
      <w:pPr>
        <w:pStyle w:val="Heading3"/>
        <w:rPr>
          <w:lang w:eastAsia="zh-CN"/>
        </w:rPr>
      </w:pPr>
      <w:r>
        <w:rPr>
          <w:lang w:eastAsia="zh-CN"/>
        </w:rPr>
        <w:t>Examples of mindfulness practices for teaching</w:t>
      </w:r>
    </w:p>
    <w:p w14:paraId="2B7284E2" w14:textId="77777777" w:rsidR="00101A65" w:rsidRDefault="00101A65" w:rsidP="00101A65">
      <w:pPr>
        <w:pStyle w:val="BodyText"/>
        <w:rPr>
          <w:lang w:eastAsia="zh-CN"/>
        </w:rPr>
      </w:pPr>
      <w:r w:rsidRPr="00101A65">
        <w:rPr>
          <w:lang w:eastAsia="zh-CN"/>
        </w:rPr>
        <w:t xml:space="preserve">Mindfulness practices help focus attention and give students a chance to practice reflective and emotional regulation skills which can help them to be more successful in academics and in life. This increased awareness can also support improved group dynamics in courses by </w:t>
      </w:r>
      <w:r w:rsidRPr="00101A65">
        <w:rPr>
          <w:lang w:eastAsia="zh-CN"/>
        </w:rPr>
        <w:lastRenderedPageBreak/>
        <w:t xml:space="preserve">promoting compassion for </w:t>
      </w:r>
      <w:proofErr w:type="gramStart"/>
      <w:r w:rsidRPr="00101A65">
        <w:rPr>
          <w:lang w:eastAsia="zh-CN"/>
        </w:rPr>
        <w:t>one’s self</w:t>
      </w:r>
      <w:proofErr w:type="gramEnd"/>
      <w:r w:rsidRPr="00101A65">
        <w:rPr>
          <w:lang w:eastAsia="zh-CN"/>
        </w:rPr>
        <w:t xml:space="preserve"> and for others. These techniques may also support student success outside of class as they can be adapted for use in professional activities and daily life - for example before a job interview, or while riding the bus.</w:t>
      </w:r>
    </w:p>
    <w:p w14:paraId="5A012DBD" w14:textId="5B085558" w:rsidR="00101A65" w:rsidRDefault="00101A65" w:rsidP="00101A65">
      <w:pPr>
        <w:pStyle w:val="Heading4"/>
        <w:rPr>
          <w:lang w:eastAsia="zh-CN"/>
        </w:rPr>
      </w:pPr>
      <w:r>
        <w:rPr>
          <w:lang w:eastAsia="zh-CN"/>
        </w:rPr>
        <w:t>Conscious breathing:</w:t>
      </w:r>
    </w:p>
    <w:p w14:paraId="019771C7" w14:textId="77777777" w:rsidR="00101A65" w:rsidRPr="00101A65" w:rsidRDefault="00101A65" w:rsidP="00101A65">
      <w:pPr>
        <w:pStyle w:val="BodyText"/>
        <w:rPr>
          <w:iCs/>
          <w:lang w:eastAsia="zh-CN"/>
        </w:rPr>
      </w:pPr>
      <w:r w:rsidRPr="00101A65">
        <w:rPr>
          <w:iCs/>
          <w:lang w:eastAsia="zh-CN"/>
        </w:rPr>
        <w:t>A focus on one’s breathing is a great way to foster a mind-body connection and calm the nervous system. Incorporating breathing exercises can encourage students’ conscious engagement in emotional regulation to reduce stress or increase attention. Breathing can be done proactively, or in response to stress responses which otherwise would interfere with cognitive processes and deep learning.</w:t>
      </w:r>
    </w:p>
    <w:p w14:paraId="29F49159" w14:textId="77777777" w:rsidR="00101A65" w:rsidRPr="00101A65" w:rsidRDefault="00101A65" w:rsidP="00101A65">
      <w:pPr>
        <w:pStyle w:val="BodyText"/>
        <w:rPr>
          <w:iCs/>
          <w:lang w:eastAsia="zh-CN"/>
        </w:rPr>
      </w:pPr>
      <w:bookmarkStart w:id="0" w:name="_heading=h.282sh89u757i" w:colFirst="0" w:colLast="0"/>
      <w:bookmarkEnd w:id="0"/>
      <w:r w:rsidRPr="00101A65">
        <w:rPr>
          <w:b/>
          <w:iCs/>
          <w:lang w:eastAsia="zh-CN"/>
        </w:rPr>
        <w:t>Practice it:</w:t>
      </w:r>
      <w:r w:rsidRPr="00101A65">
        <w:rPr>
          <w:iCs/>
          <w:lang w:eastAsia="zh-CN"/>
        </w:rPr>
        <w:t xml:space="preserve"> Taking a few deep breaths to start class can help set the tone and focus attention. </w:t>
      </w:r>
    </w:p>
    <w:p w14:paraId="5FE90ED7" w14:textId="66869308" w:rsidR="00101A65" w:rsidRDefault="00101A65" w:rsidP="00101A65">
      <w:pPr>
        <w:pStyle w:val="Heading4"/>
        <w:rPr>
          <w:lang w:eastAsia="zh-CN"/>
        </w:rPr>
      </w:pPr>
      <w:r>
        <w:rPr>
          <w:lang w:eastAsia="zh-CN"/>
        </w:rPr>
        <w:t>The STOP technique:</w:t>
      </w:r>
    </w:p>
    <w:p w14:paraId="49CB9B68" w14:textId="672E3184" w:rsidR="00101A65" w:rsidRPr="00101A65" w:rsidRDefault="00101A65" w:rsidP="00101A65">
      <w:pPr>
        <w:pStyle w:val="BodyText"/>
        <w:rPr>
          <w:lang w:eastAsia="zh-CN"/>
        </w:rPr>
      </w:pPr>
      <w:r w:rsidRPr="00101A65">
        <w:rPr>
          <w:lang w:eastAsia="zh-CN"/>
        </w:rPr>
        <w:t xml:space="preserve">This technique can be a useful and centering reminder to pause and reflect or engage with the current moment. Because it is brief and simple, STOP is ideal for pausing before the beginning of class, to transition between activities in a course or for injecting a calm moment into otherwise stressful experiences. </w:t>
      </w:r>
    </w:p>
    <w:p w14:paraId="0D7589F7" w14:textId="2315C883" w:rsidR="00101A65" w:rsidRDefault="00101A65" w:rsidP="00101A65">
      <w:pPr>
        <w:pStyle w:val="BodyText"/>
        <w:rPr>
          <w:lang w:eastAsia="zh-CN"/>
        </w:rPr>
      </w:pPr>
      <w:r w:rsidRPr="00101A65">
        <w:rPr>
          <w:lang w:eastAsia="zh-CN"/>
        </w:rPr>
        <w:t>Consider asking your students to pause and take the following steps:</w:t>
      </w:r>
    </w:p>
    <w:p w14:paraId="309A5091" w14:textId="55F307C0" w:rsidR="00101A65" w:rsidRPr="00101A65" w:rsidRDefault="00101A65" w:rsidP="00101A65">
      <w:pPr>
        <w:pStyle w:val="BodyText"/>
        <w:numPr>
          <w:ilvl w:val="0"/>
          <w:numId w:val="44"/>
        </w:numPr>
        <w:rPr>
          <w:lang w:eastAsia="zh-CN"/>
        </w:rPr>
      </w:pPr>
      <w:r w:rsidRPr="00101A65">
        <w:rPr>
          <w:b/>
          <w:lang w:eastAsia="zh-CN"/>
        </w:rPr>
        <w:t>S</w:t>
      </w:r>
      <w:r w:rsidRPr="00101A65">
        <w:rPr>
          <w:lang w:eastAsia="zh-CN"/>
        </w:rPr>
        <w:t>top — pause for a moment</w:t>
      </w:r>
      <w:r>
        <w:rPr>
          <w:lang w:eastAsia="zh-CN"/>
        </w:rPr>
        <w:t>.</w:t>
      </w:r>
    </w:p>
    <w:p w14:paraId="2B118A71" w14:textId="3A8BC1DC" w:rsidR="00101A65" w:rsidRPr="00101A65" w:rsidRDefault="00101A65" w:rsidP="00101A65">
      <w:pPr>
        <w:pStyle w:val="BodyText"/>
        <w:numPr>
          <w:ilvl w:val="0"/>
          <w:numId w:val="44"/>
        </w:numPr>
        <w:rPr>
          <w:lang w:eastAsia="zh-CN"/>
        </w:rPr>
      </w:pPr>
      <w:r w:rsidRPr="00101A65">
        <w:rPr>
          <w:b/>
          <w:lang w:eastAsia="zh-CN"/>
        </w:rPr>
        <w:t>T</w:t>
      </w:r>
      <w:r w:rsidRPr="00101A65">
        <w:rPr>
          <w:lang w:eastAsia="zh-CN"/>
        </w:rPr>
        <w:t>ake a breath — breathe deeply</w:t>
      </w:r>
      <w:r>
        <w:rPr>
          <w:lang w:eastAsia="zh-CN"/>
        </w:rPr>
        <w:t>.</w:t>
      </w:r>
    </w:p>
    <w:p w14:paraId="5AF8DAA1" w14:textId="1E98F7D4" w:rsidR="00101A65" w:rsidRPr="00101A65" w:rsidRDefault="00101A65" w:rsidP="00101A65">
      <w:pPr>
        <w:pStyle w:val="BodyText"/>
        <w:numPr>
          <w:ilvl w:val="0"/>
          <w:numId w:val="44"/>
        </w:numPr>
        <w:rPr>
          <w:lang w:eastAsia="zh-CN"/>
        </w:rPr>
      </w:pPr>
      <w:r w:rsidRPr="00101A65">
        <w:rPr>
          <w:b/>
          <w:lang w:eastAsia="zh-CN"/>
        </w:rPr>
        <w:t>O</w:t>
      </w:r>
      <w:r w:rsidRPr="00101A65">
        <w:rPr>
          <w:lang w:eastAsia="zh-CN"/>
        </w:rPr>
        <w:t>bserve — notice the sensations in the body</w:t>
      </w:r>
      <w:r>
        <w:rPr>
          <w:lang w:eastAsia="zh-CN"/>
        </w:rPr>
        <w:t>.</w:t>
      </w:r>
    </w:p>
    <w:p w14:paraId="17E83A91" w14:textId="6D6850DC" w:rsidR="00101A65" w:rsidRPr="00101A65" w:rsidRDefault="00101A65" w:rsidP="00101A65">
      <w:pPr>
        <w:pStyle w:val="BodyText"/>
        <w:numPr>
          <w:ilvl w:val="0"/>
          <w:numId w:val="44"/>
        </w:numPr>
        <w:rPr>
          <w:lang w:eastAsia="zh-CN"/>
        </w:rPr>
      </w:pPr>
      <w:r w:rsidRPr="00101A65">
        <w:rPr>
          <w:b/>
          <w:lang w:eastAsia="zh-CN"/>
        </w:rPr>
        <w:t>P</w:t>
      </w:r>
      <w:r w:rsidRPr="00101A65">
        <w:rPr>
          <w:lang w:eastAsia="zh-CN"/>
        </w:rPr>
        <w:t>roceed — choose how you want to proceed from this point forward</w:t>
      </w:r>
      <w:r>
        <w:rPr>
          <w:lang w:eastAsia="zh-CN"/>
        </w:rPr>
        <w:t>.</w:t>
      </w:r>
    </w:p>
    <w:p w14:paraId="700951F6" w14:textId="5931E490" w:rsidR="00101A65" w:rsidRDefault="00101A65" w:rsidP="00101A65">
      <w:pPr>
        <w:pStyle w:val="Heading4"/>
        <w:rPr>
          <w:lang w:eastAsia="zh-CN"/>
        </w:rPr>
      </w:pPr>
      <w:r>
        <w:rPr>
          <w:lang w:eastAsia="zh-CN"/>
        </w:rPr>
        <w:t>The RAIN technique:</w:t>
      </w:r>
    </w:p>
    <w:p w14:paraId="676D34D5" w14:textId="77777777" w:rsidR="00101A65" w:rsidRPr="00101A65" w:rsidRDefault="00101A65" w:rsidP="00101A65">
      <w:pPr>
        <w:pStyle w:val="BodyText"/>
        <w:rPr>
          <w:lang w:eastAsia="zh-CN"/>
        </w:rPr>
      </w:pPr>
      <w:r w:rsidRPr="00101A65">
        <w:rPr>
          <w:lang w:eastAsia="zh-CN"/>
        </w:rPr>
        <w:t xml:space="preserve">This technique is useful for finding more acceptance and self-compassion in relating to emotions. By encouraging students to pause and engage with these four steps when they experience emotions, they can learn to become </w:t>
      </w:r>
      <w:proofErr w:type="gramStart"/>
      <w:r w:rsidRPr="00101A65">
        <w:rPr>
          <w:lang w:eastAsia="zh-CN"/>
        </w:rPr>
        <w:t>more responsive and kind</w:t>
      </w:r>
      <w:proofErr w:type="gramEnd"/>
      <w:r w:rsidRPr="00101A65">
        <w:rPr>
          <w:lang w:eastAsia="zh-CN"/>
        </w:rPr>
        <w:t xml:space="preserve"> in the face of them. </w:t>
      </w:r>
    </w:p>
    <w:p w14:paraId="405630AF" w14:textId="77777777" w:rsidR="00101A65" w:rsidRPr="00101A65" w:rsidRDefault="00101A65" w:rsidP="00101A65">
      <w:pPr>
        <w:pStyle w:val="BodyText"/>
        <w:numPr>
          <w:ilvl w:val="0"/>
          <w:numId w:val="45"/>
        </w:numPr>
        <w:rPr>
          <w:lang w:eastAsia="zh-CN"/>
        </w:rPr>
      </w:pPr>
      <w:r w:rsidRPr="00101A65">
        <w:rPr>
          <w:b/>
          <w:lang w:eastAsia="zh-CN"/>
        </w:rPr>
        <w:t>R</w:t>
      </w:r>
      <w:r w:rsidRPr="00101A65">
        <w:rPr>
          <w:lang w:eastAsia="zh-CN"/>
        </w:rPr>
        <w:t xml:space="preserve">ecognize — label the </w:t>
      </w:r>
      <w:proofErr w:type="gramStart"/>
      <w:r w:rsidRPr="00101A65">
        <w:rPr>
          <w:lang w:eastAsia="zh-CN"/>
        </w:rPr>
        <w:t>emotion</w:t>
      </w:r>
      <w:proofErr w:type="gramEnd"/>
    </w:p>
    <w:p w14:paraId="459683B7" w14:textId="77777777" w:rsidR="00101A65" w:rsidRPr="00101A65" w:rsidRDefault="00101A65" w:rsidP="00101A65">
      <w:pPr>
        <w:pStyle w:val="BodyText"/>
        <w:numPr>
          <w:ilvl w:val="0"/>
          <w:numId w:val="45"/>
        </w:numPr>
        <w:rPr>
          <w:lang w:eastAsia="zh-CN"/>
        </w:rPr>
      </w:pPr>
      <w:r w:rsidRPr="00101A65">
        <w:rPr>
          <w:b/>
          <w:lang w:eastAsia="zh-CN"/>
        </w:rPr>
        <w:t>A</w:t>
      </w:r>
      <w:r w:rsidRPr="00101A65">
        <w:rPr>
          <w:lang w:eastAsia="zh-CN"/>
        </w:rPr>
        <w:t xml:space="preserve">llow — allow without pushing it away or making it into anything </w:t>
      </w:r>
      <w:proofErr w:type="gramStart"/>
      <w:r w:rsidRPr="00101A65">
        <w:rPr>
          <w:lang w:eastAsia="zh-CN"/>
        </w:rPr>
        <w:t>else</w:t>
      </w:r>
      <w:proofErr w:type="gramEnd"/>
    </w:p>
    <w:p w14:paraId="3A47CAAA" w14:textId="77777777" w:rsidR="00101A65" w:rsidRPr="00101A65" w:rsidRDefault="00101A65" w:rsidP="00101A65">
      <w:pPr>
        <w:pStyle w:val="BodyText"/>
        <w:numPr>
          <w:ilvl w:val="0"/>
          <w:numId w:val="45"/>
        </w:numPr>
        <w:rPr>
          <w:lang w:eastAsia="zh-CN"/>
        </w:rPr>
      </w:pPr>
      <w:r w:rsidRPr="00101A65">
        <w:rPr>
          <w:b/>
          <w:lang w:eastAsia="zh-CN"/>
        </w:rPr>
        <w:t>I</w:t>
      </w:r>
      <w:r w:rsidRPr="00101A65">
        <w:rPr>
          <w:lang w:eastAsia="zh-CN"/>
        </w:rPr>
        <w:t xml:space="preserve">nvestigate — curiously explore the felt sensation of the emotion in the </w:t>
      </w:r>
      <w:proofErr w:type="gramStart"/>
      <w:r w:rsidRPr="00101A65">
        <w:rPr>
          <w:lang w:eastAsia="zh-CN"/>
        </w:rPr>
        <w:t>body</w:t>
      </w:r>
      <w:proofErr w:type="gramEnd"/>
      <w:r w:rsidRPr="00101A65">
        <w:rPr>
          <w:lang w:eastAsia="zh-CN"/>
        </w:rPr>
        <w:t xml:space="preserve"> </w:t>
      </w:r>
    </w:p>
    <w:p w14:paraId="6F36A4A9" w14:textId="77777777" w:rsidR="00101A65" w:rsidRDefault="00101A65" w:rsidP="00101A65">
      <w:pPr>
        <w:pStyle w:val="BodyText"/>
        <w:numPr>
          <w:ilvl w:val="0"/>
          <w:numId w:val="45"/>
        </w:numPr>
        <w:rPr>
          <w:lang w:eastAsia="zh-CN"/>
        </w:rPr>
      </w:pPr>
      <w:r w:rsidRPr="00101A65">
        <w:rPr>
          <w:b/>
          <w:lang w:eastAsia="zh-CN"/>
        </w:rPr>
        <w:t>N</w:t>
      </w:r>
      <w:r w:rsidRPr="00101A65">
        <w:rPr>
          <w:lang w:eastAsia="zh-CN"/>
        </w:rPr>
        <w:t>onidentification/</w:t>
      </w:r>
      <w:r w:rsidRPr="00101A65">
        <w:rPr>
          <w:b/>
          <w:lang w:eastAsia="zh-CN"/>
        </w:rPr>
        <w:t>N</w:t>
      </w:r>
      <w:r w:rsidRPr="00101A65">
        <w:rPr>
          <w:lang w:eastAsia="zh-CN"/>
        </w:rPr>
        <w:t xml:space="preserve">urture — hold what arises with kindness and remember that we are not our emotions. </w:t>
      </w:r>
    </w:p>
    <w:p w14:paraId="72608C53" w14:textId="1F07D42B" w:rsidR="00101A65" w:rsidRDefault="00101A65" w:rsidP="00101A65">
      <w:pPr>
        <w:pStyle w:val="Heading3"/>
        <w:rPr>
          <w:lang w:eastAsia="zh-CN"/>
        </w:rPr>
      </w:pPr>
      <w:r>
        <w:rPr>
          <w:lang w:eastAsia="zh-CN"/>
        </w:rPr>
        <w:lastRenderedPageBreak/>
        <w:t>Tips for implementation:</w:t>
      </w:r>
    </w:p>
    <w:p w14:paraId="15153583" w14:textId="77777777" w:rsidR="00101A65" w:rsidRPr="00101A65" w:rsidRDefault="00101A65" w:rsidP="00101A65">
      <w:pPr>
        <w:pStyle w:val="BodyText"/>
        <w:numPr>
          <w:ilvl w:val="0"/>
          <w:numId w:val="46"/>
        </w:numPr>
        <w:rPr>
          <w:lang w:eastAsia="zh-CN"/>
        </w:rPr>
      </w:pPr>
      <w:r w:rsidRPr="00101A65">
        <w:rPr>
          <w:lang w:eastAsia="zh-CN"/>
        </w:rPr>
        <w:t xml:space="preserve">Mindfulness practices can be implemented in a variety of course modalities including </w:t>
      </w:r>
      <w:proofErr w:type="spellStart"/>
      <w:r w:rsidRPr="00101A65">
        <w:rPr>
          <w:lang w:eastAsia="zh-CN"/>
        </w:rPr>
        <w:t>onground</w:t>
      </w:r>
      <w:proofErr w:type="spellEnd"/>
      <w:r w:rsidRPr="00101A65">
        <w:rPr>
          <w:lang w:eastAsia="zh-CN"/>
        </w:rPr>
        <w:t>, online, or even asynchronously. Depending on your teaching context, identify the best way to communicate about and encourage participation in these activities.</w:t>
      </w:r>
    </w:p>
    <w:p w14:paraId="69B28EDF" w14:textId="77777777" w:rsidR="00101A65" w:rsidRPr="00101A65" w:rsidRDefault="00101A65" w:rsidP="00101A65">
      <w:pPr>
        <w:pStyle w:val="BodyText"/>
        <w:numPr>
          <w:ilvl w:val="1"/>
          <w:numId w:val="46"/>
        </w:numPr>
        <w:rPr>
          <w:lang w:eastAsia="zh-CN"/>
        </w:rPr>
      </w:pPr>
      <w:r w:rsidRPr="00101A65">
        <w:rPr>
          <w:lang w:eastAsia="zh-CN"/>
        </w:rPr>
        <w:t>For online or asynchronous activities, consider providing students with guidance in the form of written steps, audio, or video instructions.</w:t>
      </w:r>
    </w:p>
    <w:p w14:paraId="021FE844" w14:textId="77777777" w:rsidR="00101A65" w:rsidRPr="00101A65" w:rsidRDefault="00101A65" w:rsidP="00101A65">
      <w:pPr>
        <w:pStyle w:val="BodyText"/>
        <w:numPr>
          <w:ilvl w:val="1"/>
          <w:numId w:val="46"/>
        </w:numPr>
        <w:spacing w:after="0"/>
        <w:rPr>
          <w:lang w:eastAsia="zh-CN"/>
        </w:rPr>
      </w:pPr>
      <w:r w:rsidRPr="00101A65">
        <w:rPr>
          <w:lang w:eastAsia="zh-CN"/>
        </w:rPr>
        <w:t>Consider offering variations on chosen activities to make them accessible to all students, including those with different physical abilities.</w:t>
      </w:r>
      <w:r w:rsidRPr="00101A65">
        <w:rPr>
          <w:lang w:eastAsia="zh-CN"/>
        </w:rPr>
        <w:br/>
      </w:r>
    </w:p>
    <w:p w14:paraId="1D1E37B8" w14:textId="199CB308" w:rsidR="00101A65" w:rsidRPr="00101A65" w:rsidRDefault="00101A65" w:rsidP="00101A65">
      <w:pPr>
        <w:pStyle w:val="BodyText"/>
        <w:numPr>
          <w:ilvl w:val="0"/>
          <w:numId w:val="46"/>
        </w:numPr>
        <w:spacing w:after="0"/>
        <w:rPr>
          <w:lang w:eastAsia="zh-CN"/>
        </w:rPr>
      </w:pPr>
      <w:r w:rsidRPr="00101A65">
        <w:rPr>
          <w:lang w:eastAsia="zh-CN"/>
        </w:rPr>
        <w:t xml:space="preserve">Consider rotating responsibilities for leading mindfulness activities throughout the semester. </w:t>
      </w:r>
      <w:r w:rsidR="004B7046">
        <w:rPr>
          <w:lang w:eastAsia="zh-CN"/>
        </w:rPr>
        <w:t xml:space="preserve">Instructors, </w:t>
      </w:r>
      <w:proofErr w:type="gramStart"/>
      <w:r w:rsidR="004B7046">
        <w:rPr>
          <w:lang w:eastAsia="zh-CN"/>
        </w:rPr>
        <w:t>TAs</w:t>
      </w:r>
      <w:proofErr w:type="gramEnd"/>
      <w:r w:rsidRPr="00101A65">
        <w:rPr>
          <w:lang w:eastAsia="zh-CN"/>
        </w:rPr>
        <w:t xml:space="preserve"> or student</w:t>
      </w:r>
      <w:r w:rsidR="004B7046">
        <w:rPr>
          <w:lang w:eastAsia="zh-CN"/>
        </w:rPr>
        <w:t>s</w:t>
      </w:r>
      <w:r w:rsidRPr="00101A65">
        <w:rPr>
          <w:lang w:eastAsia="zh-CN"/>
        </w:rPr>
        <w:t xml:space="preserve"> </w:t>
      </w:r>
      <w:r w:rsidR="004B7046">
        <w:rPr>
          <w:lang w:eastAsia="zh-CN"/>
        </w:rPr>
        <w:t>can lead these practices</w:t>
      </w:r>
      <w:r w:rsidRPr="00101A65">
        <w:rPr>
          <w:lang w:eastAsia="zh-CN"/>
        </w:rPr>
        <w:t xml:space="preserve">. </w:t>
      </w:r>
      <w:r w:rsidRPr="00101A65">
        <w:rPr>
          <w:lang w:eastAsia="zh-CN"/>
        </w:rPr>
        <w:br/>
      </w:r>
    </w:p>
    <w:p w14:paraId="2B4C5E78" w14:textId="0389A432" w:rsidR="00101A65" w:rsidRPr="00101A65" w:rsidRDefault="00101A65" w:rsidP="00101A65">
      <w:pPr>
        <w:pStyle w:val="BodyText"/>
        <w:numPr>
          <w:ilvl w:val="0"/>
          <w:numId w:val="46"/>
        </w:numPr>
        <w:spacing w:after="0"/>
        <w:rPr>
          <w:lang w:eastAsia="zh-CN"/>
        </w:rPr>
      </w:pPr>
      <w:r w:rsidRPr="00101A65">
        <w:rPr>
          <w:lang w:eastAsia="zh-CN"/>
        </w:rPr>
        <w:t>Frame the purpose of the mindfulness intervention</w:t>
      </w:r>
      <w:r w:rsidR="00F23EC7">
        <w:rPr>
          <w:lang w:eastAsia="zh-CN"/>
        </w:rPr>
        <w:t xml:space="preserve"> in your courses</w:t>
      </w:r>
      <w:r w:rsidRPr="00101A65">
        <w:rPr>
          <w:lang w:eastAsia="zh-CN"/>
        </w:rPr>
        <w:t xml:space="preserve"> in the context of </w:t>
      </w:r>
      <w:r w:rsidR="00F23EC7">
        <w:rPr>
          <w:lang w:eastAsia="zh-CN"/>
        </w:rPr>
        <w:t xml:space="preserve">student </w:t>
      </w:r>
      <w:r w:rsidRPr="00101A65">
        <w:rPr>
          <w:lang w:eastAsia="zh-CN"/>
        </w:rPr>
        <w:t>learning</w:t>
      </w:r>
      <w:r w:rsidR="00F23EC7">
        <w:rPr>
          <w:lang w:eastAsia="zh-CN"/>
        </w:rPr>
        <w:t xml:space="preserve">, </w:t>
      </w:r>
      <w:r w:rsidRPr="00101A65">
        <w:rPr>
          <w:lang w:eastAsia="zh-CN"/>
        </w:rPr>
        <w:t>resilience</w:t>
      </w:r>
      <w:r w:rsidR="00F23EC7">
        <w:rPr>
          <w:lang w:eastAsia="zh-CN"/>
        </w:rPr>
        <w:t xml:space="preserve"> and wellbeing</w:t>
      </w:r>
      <w:r w:rsidRPr="00101A65">
        <w:rPr>
          <w:lang w:eastAsia="zh-CN"/>
        </w:rPr>
        <w:t xml:space="preserve">. </w:t>
      </w:r>
      <w:r w:rsidRPr="00101A65">
        <w:rPr>
          <w:lang w:eastAsia="zh-CN"/>
        </w:rPr>
        <w:br/>
      </w:r>
    </w:p>
    <w:p w14:paraId="2BD0FD28" w14:textId="77777777" w:rsidR="00101A65" w:rsidRPr="00101A65" w:rsidRDefault="00101A65" w:rsidP="00101A65">
      <w:pPr>
        <w:pStyle w:val="BodyText"/>
        <w:numPr>
          <w:ilvl w:val="0"/>
          <w:numId w:val="46"/>
        </w:numPr>
        <w:spacing w:after="0"/>
        <w:rPr>
          <w:lang w:eastAsia="zh-CN"/>
        </w:rPr>
      </w:pPr>
      <w:r w:rsidRPr="00101A65">
        <w:rPr>
          <w:lang w:eastAsia="zh-CN"/>
        </w:rPr>
        <w:t xml:space="preserve">Be prepared to refer students to additional resources if they would like to pursue mindfulness or other related approaches outside of class. You may also wish to identify other campus resources, such as </w:t>
      </w:r>
      <w:hyperlink r:id="rId13">
        <w:r w:rsidRPr="00101A65">
          <w:rPr>
            <w:rStyle w:val="Hyperlink"/>
            <w:lang w:eastAsia="zh-CN"/>
          </w:rPr>
          <w:t>USC Campus Support &amp; Intervention</w:t>
        </w:r>
      </w:hyperlink>
      <w:r w:rsidRPr="00101A65">
        <w:rPr>
          <w:lang w:eastAsia="zh-CN"/>
        </w:rPr>
        <w:t xml:space="preserve"> for students who still struggle with focus, managing stress, or emotional regulation.</w:t>
      </w:r>
      <w:r w:rsidRPr="00101A65">
        <w:rPr>
          <w:lang w:eastAsia="zh-CN"/>
        </w:rPr>
        <w:br/>
      </w:r>
    </w:p>
    <w:p w14:paraId="0B8CC006" w14:textId="77777777" w:rsidR="00101A65" w:rsidRPr="00101A65" w:rsidRDefault="00101A65" w:rsidP="00101A65">
      <w:pPr>
        <w:pStyle w:val="BodyText"/>
        <w:numPr>
          <w:ilvl w:val="0"/>
          <w:numId w:val="46"/>
        </w:numPr>
        <w:spacing w:after="0"/>
        <w:rPr>
          <w:lang w:eastAsia="zh-CN"/>
        </w:rPr>
      </w:pPr>
      <w:r w:rsidRPr="00101A65">
        <w:rPr>
          <w:lang w:eastAsia="zh-CN"/>
        </w:rPr>
        <w:t>Consider collecting feedback on how these activities impact students’ learning experiences or how they could be modified to better meet students’ needs in the future.</w:t>
      </w:r>
      <w:r w:rsidRPr="00101A65">
        <w:rPr>
          <w:lang w:eastAsia="zh-CN"/>
        </w:rPr>
        <w:br/>
      </w:r>
    </w:p>
    <w:p w14:paraId="31AF6D83" w14:textId="77777777" w:rsidR="00101A65" w:rsidRPr="00101A65" w:rsidRDefault="00101A65" w:rsidP="00101A65">
      <w:pPr>
        <w:pStyle w:val="BodyText"/>
        <w:numPr>
          <w:ilvl w:val="0"/>
          <w:numId w:val="46"/>
        </w:numPr>
        <w:spacing w:after="0"/>
        <w:rPr>
          <w:lang w:eastAsia="zh-CN"/>
        </w:rPr>
      </w:pPr>
      <w:r w:rsidRPr="00101A65">
        <w:rPr>
          <w:lang w:eastAsia="zh-CN"/>
        </w:rPr>
        <w:t>Improve your own mindfulness practices by employing some of these techniques in your personal or professional life, as appropriate.</w:t>
      </w:r>
      <w:r w:rsidRPr="00101A65">
        <w:rPr>
          <w:lang w:eastAsia="zh-CN"/>
        </w:rPr>
        <w:br/>
      </w:r>
    </w:p>
    <w:p w14:paraId="3209116F" w14:textId="7ED64F15" w:rsidR="00101A65" w:rsidRPr="00101A65" w:rsidRDefault="00101A65" w:rsidP="00697801">
      <w:pPr>
        <w:pStyle w:val="BodyText"/>
        <w:numPr>
          <w:ilvl w:val="0"/>
          <w:numId w:val="46"/>
        </w:numPr>
        <w:rPr>
          <w:lang w:eastAsia="zh-CN"/>
        </w:rPr>
      </w:pPr>
      <w:r w:rsidRPr="00101A65">
        <w:rPr>
          <w:lang w:eastAsia="zh-CN"/>
        </w:rPr>
        <w:t>Keep informed about other mindfulness practices by staying connected to campus resources listed in the next section.</w:t>
      </w:r>
    </w:p>
    <w:p w14:paraId="1F7CB62C" w14:textId="2FFBBA44" w:rsidR="00101A65" w:rsidRDefault="00101A65" w:rsidP="00101A65">
      <w:pPr>
        <w:pStyle w:val="Heading3"/>
        <w:rPr>
          <w:lang w:eastAsia="zh-CN"/>
        </w:rPr>
      </w:pPr>
      <w:r>
        <w:rPr>
          <w:lang w:eastAsia="zh-CN"/>
        </w:rPr>
        <w:t>USC mindfulness resources</w:t>
      </w:r>
    </w:p>
    <w:p w14:paraId="3EA9F983" w14:textId="39833D4E" w:rsidR="00101A65" w:rsidRPr="00101A65" w:rsidRDefault="00000000" w:rsidP="00101A65">
      <w:pPr>
        <w:pStyle w:val="BodyText"/>
        <w:numPr>
          <w:ilvl w:val="0"/>
          <w:numId w:val="47"/>
        </w:numPr>
        <w:spacing w:after="0"/>
        <w:rPr>
          <w:lang w:eastAsia="zh-CN"/>
        </w:rPr>
      </w:pPr>
      <w:hyperlink r:id="rId14">
        <w:r w:rsidR="00101A65" w:rsidRPr="00101A65">
          <w:rPr>
            <w:rStyle w:val="Hyperlink"/>
            <w:lang w:eastAsia="zh-CN"/>
          </w:rPr>
          <w:t>Mindful USC</w:t>
        </w:r>
      </w:hyperlink>
      <w:r w:rsidR="00101A65">
        <w:rPr>
          <w:lang w:eastAsia="zh-CN"/>
        </w:rPr>
        <w:t>.</w:t>
      </w:r>
      <w:r w:rsidR="00101A65" w:rsidRPr="00101A65">
        <w:rPr>
          <w:lang w:eastAsia="zh-CN"/>
        </w:rPr>
        <w:br/>
      </w:r>
    </w:p>
    <w:p w14:paraId="19D5F4C7" w14:textId="623EF58B" w:rsidR="00101A65" w:rsidRDefault="00000000" w:rsidP="00101A65">
      <w:pPr>
        <w:pStyle w:val="BodyText"/>
        <w:numPr>
          <w:ilvl w:val="0"/>
          <w:numId w:val="47"/>
        </w:numPr>
        <w:rPr>
          <w:lang w:eastAsia="zh-CN"/>
        </w:rPr>
      </w:pPr>
      <w:hyperlink r:id="rId15">
        <w:r w:rsidR="00101A65" w:rsidRPr="00101A65">
          <w:rPr>
            <w:rStyle w:val="Hyperlink"/>
            <w:lang w:eastAsia="zh-CN"/>
          </w:rPr>
          <w:t>The USC Center for Mindfulness Science</w:t>
        </w:r>
      </w:hyperlink>
      <w:r w:rsidR="00101A65">
        <w:rPr>
          <w:lang w:eastAsia="zh-CN"/>
        </w:rPr>
        <w:t>.</w:t>
      </w:r>
      <w:r w:rsidR="00101A65">
        <w:rPr>
          <w:lang w:eastAsia="zh-CN"/>
        </w:rPr>
        <w:br/>
      </w:r>
    </w:p>
    <w:p w14:paraId="77DEB8F9" w14:textId="4054ABF7" w:rsidR="00101A65" w:rsidRDefault="00101A65" w:rsidP="00101A65">
      <w:pPr>
        <w:pStyle w:val="Heading3"/>
        <w:rPr>
          <w:lang w:eastAsia="zh-CN"/>
        </w:rPr>
      </w:pPr>
      <w:r>
        <w:rPr>
          <w:lang w:eastAsia="zh-CN"/>
        </w:rPr>
        <w:t>Additional resources</w:t>
      </w:r>
    </w:p>
    <w:p w14:paraId="6D78D685" w14:textId="33B3E123" w:rsidR="00101A65" w:rsidRPr="00101A65" w:rsidRDefault="00101A65" w:rsidP="00101A65">
      <w:pPr>
        <w:pStyle w:val="BodyText"/>
        <w:numPr>
          <w:ilvl w:val="0"/>
          <w:numId w:val="48"/>
        </w:numPr>
        <w:rPr>
          <w:lang w:eastAsia="zh-CN"/>
        </w:rPr>
      </w:pPr>
      <w:r w:rsidRPr="00101A65">
        <w:rPr>
          <w:lang w:eastAsia="zh-CN"/>
        </w:rPr>
        <w:t>“</w:t>
      </w:r>
      <w:hyperlink r:id="rId16">
        <w:r w:rsidRPr="00101A65">
          <w:rPr>
            <w:rStyle w:val="Hyperlink"/>
            <w:lang w:eastAsia="zh-CN"/>
          </w:rPr>
          <w:t>12 Principles of Mindful Learning</w:t>
        </w:r>
      </w:hyperlink>
      <w:r w:rsidRPr="00101A65">
        <w:rPr>
          <w:lang w:eastAsia="zh-CN"/>
        </w:rPr>
        <w:t xml:space="preserve">”. Excerpted from: </w:t>
      </w:r>
      <w:proofErr w:type="spellStart"/>
      <w:r w:rsidRPr="00101A65">
        <w:rPr>
          <w:lang w:eastAsia="zh-CN"/>
        </w:rPr>
        <w:t>Yaron</w:t>
      </w:r>
      <w:proofErr w:type="spellEnd"/>
      <w:r w:rsidRPr="00101A65">
        <w:rPr>
          <w:lang w:eastAsia="zh-CN"/>
        </w:rPr>
        <w:t xml:space="preserve"> Weston, L. (2021). </w:t>
      </w:r>
      <w:hyperlink r:id="rId17">
        <w:r w:rsidRPr="00101A65">
          <w:rPr>
            <w:rStyle w:val="Hyperlink"/>
            <w:i/>
            <w:lang w:eastAsia="zh-CN"/>
          </w:rPr>
          <w:t>Mindfulness for young adults: tools to thrive in school and life</w:t>
        </w:r>
      </w:hyperlink>
      <w:r w:rsidRPr="00101A65">
        <w:rPr>
          <w:lang w:eastAsia="zh-CN"/>
        </w:rPr>
        <w:t xml:space="preserve">. Routledge. </w:t>
      </w:r>
    </w:p>
    <w:p w14:paraId="4FCA906C" w14:textId="77777777" w:rsidR="00101A65" w:rsidRPr="00101A65" w:rsidRDefault="00101A65" w:rsidP="00101A65">
      <w:pPr>
        <w:pStyle w:val="BodyText"/>
        <w:numPr>
          <w:ilvl w:val="0"/>
          <w:numId w:val="48"/>
        </w:numPr>
        <w:rPr>
          <w:lang w:eastAsia="zh-CN"/>
        </w:rPr>
      </w:pPr>
      <w:r w:rsidRPr="00101A65">
        <w:rPr>
          <w:lang w:eastAsia="zh-CN"/>
        </w:rPr>
        <w:lastRenderedPageBreak/>
        <w:t>"</w:t>
      </w:r>
      <w:hyperlink r:id="rId18">
        <w:r w:rsidRPr="00101A65">
          <w:rPr>
            <w:rStyle w:val="Hyperlink"/>
            <w:lang w:eastAsia="zh-CN"/>
          </w:rPr>
          <w:t>What is Emotionally Responsive Teaching</w:t>
        </w:r>
      </w:hyperlink>
      <w:r w:rsidRPr="00101A65">
        <w:rPr>
          <w:lang w:eastAsia="zh-CN"/>
        </w:rPr>
        <w:t xml:space="preserve">?" Excerpted from: Weston, L. Y. (2022). </w:t>
      </w:r>
      <w:hyperlink r:id="rId19">
        <w:r w:rsidRPr="00101A65">
          <w:rPr>
            <w:rStyle w:val="Hyperlink"/>
            <w:i/>
            <w:lang w:eastAsia="zh-CN"/>
          </w:rPr>
          <w:t>Teaching Resilience and Mental Health Across the Curriculum: A Guide for High School and College Teachers</w:t>
        </w:r>
      </w:hyperlink>
      <w:r w:rsidRPr="00101A65">
        <w:rPr>
          <w:lang w:eastAsia="zh-CN"/>
        </w:rPr>
        <w:t>. Routledge.</w:t>
      </w:r>
    </w:p>
    <w:p w14:paraId="29134C7D" w14:textId="77777777" w:rsidR="00101A65" w:rsidRPr="00101A65" w:rsidRDefault="00101A65" w:rsidP="00101A65">
      <w:pPr>
        <w:pStyle w:val="BodyText"/>
        <w:numPr>
          <w:ilvl w:val="0"/>
          <w:numId w:val="48"/>
        </w:numPr>
        <w:rPr>
          <w:lang w:eastAsia="zh-CN"/>
        </w:rPr>
      </w:pPr>
      <w:r w:rsidRPr="00101A65">
        <w:rPr>
          <w:lang w:eastAsia="zh-CN"/>
        </w:rPr>
        <w:t xml:space="preserve">Weston, L. Y. (2020). </w:t>
      </w:r>
      <w:hyperlink r:id="rId20">
        <w:r w:rsidRPr="00101A65">
          <w:rPr>
            <w:rStyle w:val="Hyperlink"/>
            <w:lang w:eastAsia="zh-CN"/>
          </w:rPr>
          <w:t>Mindfulness in Class and in Life: Mental health and emotional resilience alongside academic studies</w:t>
        </w:r>
      </w:hyperlink>
      <w:r w:rsidRPr="00101A65">
        <w:rPr>
          <w:lang w:eastAsia="zh-CN"/>
        </w:rPr>
        <w:t>. Liberal Education, 106(3), 28–. (</w:t>
      </w:r>
      <w:hyperlink r:id="rId21">
        <w:r w:rsidRPr="00101A65">
          <w:rPr>
            <w:rStyle w:val="Hyperlink"/>
            <w:lang w:eastAsia="zh-CN"/>
          </w:rPr>
          <w:t>USC Libraries link</w:t>
        </w:r>
      </w:hyperlink>
      <w:r w:rsidRPr="00101A65">
        <w:rPr>
          <w:lang w:eastAsia="zh-CN"/>
        </w:rPr>
        <w:t>).</w:t>
      </w:r>
    </w:p>
    <w:p w14:paraId="646A154D" w14:textId="77777777" w:rsidR="00101A65" w:rsidRPr="00101A65" w:rsidRDefault="00101A65" w:rsidP="00101A65">
      <w:pPr>
        <w:pStyle w:val="BodyText"/>
        <w:numPr>
          <w:ilvl w:val="0"/>
          <w:numId w:val="48"/>
        </w:numPr>
        <w:rPr>
          <w:lang w:eastAsia="zh-CN"/>
        </w:rPr>
      </w:pPr>
      <w:r w:rsidRPr="00101A65">
        <w:rPr>
          <w:lang w:eastAsia="zh-CN"/>
        </w:rPr>
        <w:t xml:space="preserve">Shapiro, S. L., Brown, K. W., &amp; </w:t>
      </w:r>
      <w:proofErr w:type="spellStart"/>
      <w:r w:rsidRPr="00101A65">
        <w:rPr>
          <w:lang w:eastAsia="zh-CN"/>
        </w:rPr>
        <w:t>Astin</w:t>
      </w:r>
      <w:proofErr w:type="spellEnd"/>
      <w:r w:rsidRPr="00101A65">
        <w:rPr>
          <w:lang w:eastAsia="zh-CN"/>
        </w:rPr>
        <w:t xml:space="preserve">, J. (2011). </w:t>
      </w:r>
      <w:hyperlink r:id="rId22">
        <w:r w:rsidRPr="00101A65">
          <w:rPr>
            <w:rStyle w:val="Hyperlink"/>
            <w:lang w:eastAsia="zh-CN"/>
          </w:rPr>
          <w:t>Toward the integration of meditation into higher education: A review of research evidence</w:t>
        </w:r>
      </w:hyperlink>
      <w:r w:rsidRPr="00101A65">
        <w:rPr>
          <w:lang w:eastAsia="zh-CN"/>
        </w:rPr>
        <w:t>. Teachers College Record (1970), 113(3).</w:t>
      </w:r>
    </w:p>
    <w:p w14:paraId="54C00629" w14:textId="77777777" w:rsidR="00101A65" w:rsidRPr="00101A65" w:rsidRDefault="00000000" w:rsidP="00101A65">
      <w:pPr>
        <w:pStyle w:val="BodyText"/>
        <w:numPr>
          <w:ilvl w:val="0"/>
          <w:numId w:val="48"/>
        </w:numPr>
        <w:rPr>
          <w:lang w:eastAsia="zh-CN"/>
        </w:rPr>
      </w:pPr>
      <w:hyperlink r:id="rId23">
        <w:r w:rsidR="00101A65" w:rsidRPr="00101A65">
          <w:rPr>
            <w:rStyle w:val="Hyperlink"/>
            <w:lang w:eastAsia="zh-CN"/>
          </w:rPr>
          <w:t>The American Mindfulness Research Association</w:t>
        </w:r>
      </w:hyperlink>
      <w:r w:rsidR="00101A65" w:rsidRPr="00101A65">
        <w:rPr>
          <w:lang w:eastAsia="zh-CN"/>
        </w:rPr>
        <w:t>.</w:t>
      </w:r>
    </w:p>
    <w:p w14:paraId="65B92EE8" w14:textId="77777777" w:rsidR="00101A65" w:rsidRPr="00101A65" w:rsidRDefault="00000000" w:rsidP="00101A65">
      <w:pPr>
        <w:pStyle w:val="BodyText"/>
        <w:numPr>
          <w:ilvl w:val="0"/>
          <w:numId w:val="48"/>
        </w:numPr>
        <w:rPr>
          <w:lang w:eastAsia="zh-CN"/>
        </w:rPr>
      </w:pPr>
      <w:hyperlink r:id="rId24">
        <w:r w:rsidR="00101A65" w:rsidRPr="00101A65">
          <w:rPr>
            <w:rStyle w:val="Hyperlink"/>
            <w:lang w:eastAsia="zh-CN"/>
          </w:rPr>
          <w:t>The Association for Contemplative Mind in Higher Education</w:t>
        </w:r>
      </w:hyperlink>
      <w:r w:rsidR="00101A65" w:rsidRPr="00101A65">
        <w:rPr>
          <w:lang w:eastAsia="zh-CN"/>
        </w:rPr>
        <w:t>.</w:t>
      </w:r>
    </w:p>
    <w:p w14:paraId="0C495639" w14:textId="77777777" w:rsidR="00101A65" w:rsidRPr="00101A65" w:rsidRDefault="00101A65" w:rsidP="00101A65">
      <w:pPr>
        <w:pStyle w:val="BodyText"/>
        <w:rPr>
          <w:lang w:eastAsia="zh-CN"/>
        </w:rPr>
      </w:pPr>
    </w:p>
    <w:p w14:paraId="747D774F" w14:textId="2E36C17D" w:rsidR="00101A65" w:rsidRPr="00101A65" w:rsidRDefault="00101A65" w:rsidP="00101A65">
      <w:pPr>
        <w:pStyle w:val="BodyText"/>
        <w:rPr>
          <w:i/>
          <w:lang w:eastAsia="zh-CN"/>
        </w:rPr>
      </w:pPr>
      <w:r w:rsidRPr="00101A65">
        <w:rPr>
          <w:i/>
          <w:lang w:eastAsia="zh-CN"/>
        </w:rPr>
        <w:t xml:space="preserve">This resource was prepared in collaboration with Lecturer Linda </w:t>
      </w:r>
      <w:proofErr w:type="spellStart"/>
      <w:r w:rsidRPr="00101A65">
        <w:rPr>
          <w:i/>
          <w:lang w:eastAsia="zh-CN"/>
        </w:rPr>
        <w:t>Yaron</w:t>
      </w:r>
      <w:proofErr w:type="spellEnd"/>
      <w:r w:rsidRPr="00101A65">
        <w:rPr>
          <w:i/>
          <w:lang w:eastAsia="zh-CN"/>
        </w:rPr>
        <w:t xml:space="preserve"> Weston of USC</w:t>
      </w:r>
      <w:r w:rsidR="000C2F76">
        <w:rPr>
          <w:i/>
          <w:lang w:eastAsia="zh-CN"/>
        </w:rPr>
        <w:t>’s</w:t>
      </w:r>
      <w:r w:rsidRPr="00101A65">
        <w:rPr>
          <w:i/>
          <w:lang w:eastAsia="zh-CN"/>
        </w:rPr>
        <w:t xml:space="preserve"> </w:t>
      </w:r>
      <w:proofErr w:type="spellStart"/>
      <w:r w:rsidRPr="00101A65">
        <w:rPr>
          <w:i/>
          <w:lang w:eastAsia="zh-CN"/>
        </w:rPr>
        <w:t>Dornsife</w:t>
      </w:r>
      <w:proofErr w:type="spellEnd"/>
      <w:r w:rsidRPr="00101A65">
        <w:rPr>
          <w:i/>
          <w:lang w:eastAsia="zh-CN"/>
        </w:rPr>
        <w:t xml:space="preserve"> Department of Physical Education and Mind Body Health and Dr. Allyson Pimentel, co-director of Mindful USC. </w:t>
      </w:r>
    </w:p>
    <w:p w14:paraId="4C02062D" w14:textId="77777777" w:rsidR="00101A65" w:rsidRPr="00101A65" w:rsidRDefault="00101A65" w:rsidP="00101A65">
      <w:pPr>
        <w:pStyle w:val="BodyText"/>
        <w:rPr>
          <w:lang w:eastAsia="zh-CN"/>
        </w:rPr>
      </w:pPr>
    </w:p>
    <w:p w14:paraId="3E86A702" w14:textId="77777777" w:rsidR="00101A65" w:rsidRPr="00101A65" w:rsidRDefault="00101A65" w:rsidP="00101A65">
      <w:pPr>
        <w:pStyle w:val="BodyText"/>
        <w:rPr>
          <w:lang w:eastAsia="zh-CN"/>
        </w:rPr>
      </w:pPr>
    </w:p>
    <w:sectPr w:rsidR="00101A65" w:rsidRPr="00101A65">
      <w:footerReference w:type="first" r:id="rId25"/>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F09E" w14:textId="77777777" w:rsidR="002C5B12" w:rsidRDefault="002C5B12">
      <w:r>
        <w:separator/>
      </w:r>
    </w:p>
  </w:endnote>
  <w:endnote w:type="continuationSeparator" w:id="0">
    <w:p w14:paraId="0D62CB04" w14:textId="77777777" w:rsidR="002C5B12" w:rsidRDefault="002C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00"/>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panose1 w:val="020B0604020202020204"/>
    <w:charset w:val="4D"/>
    <w:family w:val="auto"/>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DC2D"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D8D64CB" w14:textId="77777777" w:rsidR="00B71CD1" w:rsidRDefault="000D6F02">
    <w:r>
      <w:rPr>
        <w:noProof/>
      </w:rPr>
      <w:drawing>
        <wp:inline distT="114300" distB="114300" distL="114300" distR="114300" wp14:anchorId="66DF0BBA" wp14:editId="15D1CA05">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B592" w14:textId="77777777" w:rsidR="002C5B12" w:rsidRDefault="002C5B12">
      <w:r>
        <w:separator/>
      </w:r>
    </w:p>
  </w:footnote>
  <w:footnote w:type="continuationSeparator" w:id="0">
    <w:p w14:paraId="7B66E03D" w14:textId="77777777" w:rsidR="002C5B12" w:rsidRDefault="002C5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AD4689"/>
    <w:multiLevelType w:val="hybridMultilevel"/>
    <w:tmpl w:val="D7ACA25A"/>
    <w:lvl w:ilvl="0" w:tplc="E7624948">
      <w:start w:val="1"/>
      <w:numFmt w:val="bullet"/>
      <w:pStyle w:val="Bulletedtable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F6772"/>
    <w:multiLevelType w:val="multilevel"/>
    <w:tmpl w:val="7E90B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C1541"/>
    <w:multiLevelType w:val="multilevel"/>
    <w:tmpl w:val="0D1C3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112735"/>
    <w:multiLevelType w:val="hybridMultilevel"/>
    <w:tmpl w:val="9198D9D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8"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1E209B"/>
    <w:multiLevelType w:val="multilevel"/>
    <w:tmpl w:val="1FFA0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 w15:restartNumberingAfterBreak="0">
    <w:nsid w:val="757F5463"/>
    <w:multiLevelType w:val="hybridMultilevel"/>
    <w:tmpl w:val="4F6A2D8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5"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449403240">
    <w:abstractNumId w:val="15"/>
  </w:num>
  <w:num w:numId="2" w16cid:durableId="280504074">
    <w:abstractNumId w:val="14"/>
  </w:num>
  <w:num w:numId="3" w16cid:durableId="1151368969">
    <w:abstractNumId w:val="22"/>
  </w:num>
  <w:num w:numId="4" w16cid:durableId="419252010">
    <w:abstractNumId w:val="27"/>
  </w:num>
  <w:num w:numId="5" w16cid:durableId="267272922">
    <w:abstractNumId w:val="28"/>
  </w:num>
  <w:num w:numId="6" w16cid:durableId="1847360643">
    <w:abstractNumId w:val="38"/>
  </w:num>
  <w:num w:numId="7" w16cid:durableId="47153000">
    <w:abstractNumId w:val="45"/>
  </w:num>
  <w:num w:numId="8" w16cid:durableId="1210872666">
    <w:abstractNumId w:val="18"/>
  </w:num>
  <w:num w:numId="9" w16cid:durableId="1895196744">
    <w:abstractNumId w:val="39"/>
  </w:num>
  <w:num w:numId="10" w16cid:durableId="1795251307">
    <w:abstractNumId w:val="30"/>
  </w:num>
  <w:num w:numId="11" w16cid:durableId="564682848">
    <w:abstractNumId w:val="26"/>
  </w:num>
  <w:num w:numId="12" w16cid:durableId="698244080">
    <w:abstractNumId w:val="24"/>
  </w:num>
  <w:num w:numId="13" w16cid:durableId="892738289">
    <w:abstractNumId w:val="29"/>
  </w:num>
  <w:num w:numId="14" w16cid:durableId="1898929601">
    <w:abstractNumId w:val="20"/>
  </w:num>
  <w:num w:numId="15" w16cid:durableId="1187477433">
    <w:abstractNumId w:val="10"/>
  </w:num>
  <w:num w:numId="16" w16cid:durableId="752044947">
    <w:abstractNumId w:val="10"/>
  </w:num>
  <w:num w:numId="17" w16cid:durableId="1379285510">
    <w:abstractNumId w:val="36"/>
  </w:num>
  <w:num w:numId="18" w16cid:durableId="1363894549">
    <w:abstractNumId w:val="31"/>
  </w:num>
  <w:num w:numId="19" w16cid:durableId="1632052410">
    <w:abstractNumId w:val="16"/>
  </w:num>
  <w:num w:numId="20" w16cid:durableId="514072389">
    <w:abstractNumId w:val="23"/>
  </w:num>
  <w:num w:numId="21" w16cid:durableId="1118718960">
    <w:abstractNumId w:val="25"/>
  </w:num>
  <w:num w:numId="22" w16cid:durableId="781338109">
    <w:abstractNumId w:val="17"/>
  </w:num>
  <w:num w:numId="23" w16cid:durableId="886722087">
    <w:abstractNumId w:val="33"/>
  </w:num>
  <w:num w:numId="24" w16cid:durableId="1787000134">
    <w:abstractNumId w:val="12"/>
  </w:num>
  <w:num w:numId="25" w16cid:durableId="1765809056">
    <w:abstractNumId w:val="34"/>
  </w:num>
  <w:num w:numId="26" w16cid:durableId="1134710319">
    <w:abstractNumId w:val="40"/>
  </w:num>
  <w:num w:numId="27" w16cid:durableId="559442705">
    <w:abstractNumId w:val="43"/>
  </w:num>
  <w:num w:numId="28" w16cid:durableId="1039479347">
    <w:abstractNumId w:val="13"/>
  </w:num>
  <w:num w:numId="29" w16cid:durableId="1517504575">
    <w:abstractNumId w:val="41"/>
  </w:num>
  <w:num w:numId="30" w16cid:durableId="506940315">
    <w:abstractNumId w:val="19"/>
  </w:num>
  <w:num w:numId="31" w16cid:durableId="998926696">
    <w:abstractNumId w:val="46"/>
  </w:num>
  <w:num w:numId="32" w16cid:durableId="1252009650">
    <w:abstractNumId w:val="21"/>
  </w:num>
  <w:num w:numId="33" w16cid:durableId="1114055495">
    <w:abstractNumId w:val="0"/>
  </w:num>
  <w:num w:numId="34" w16cid:durableId="266816845">
    <w:abstractNumId w:val="1"/>
  </w:num>
  <w:num w:numId="35" w16cid:durableId="1193767029">
    <w:abstractNumId w:val="2"/>
  </w:num>
  <w:num w:numId="36" w16cid:durableId="278880710">
    <w:abstractNumId w:val="3"/>
  </w:num>
  <w:num w:numId="37" w16cid:durableId="436214580">
    <w:abstractNumId w:val="8"/>
  </w:num>
  <w:num w:numId="38" w16cid:durableId="1658266931">
    <w:abstractNumId w:val="4"/>
  </w:num>
  <w:num w:numId="39" w16cid:durableId="438795630">
    <w:abstractNumId w:val="5"/>
  </w:num>
  <w:num w:numId="40" w16cid:durableId="1657146518">
    <w:abstractNumId w:val="6"/>
  </w:num>
  <w:num w:numId="41" w16cid:durableId="1061441963">
    <w:abstractNumId w:val="7"/>
  </w:num>
  <w:num w:numId="42" w16cid:durableId="1977178332">
    <w:abstractNumId w:val="9"/>
  </w:num>
  <w:num w:numId="43" w16cid:durableId="266668386">
    <w:abstractNumId w:val="11"/>
  </w:num>
  <w:num w:numId="44" w16cid:durableId="615870724">
    <w:abstractNumId w:val="44"/>
  </w:num>
  <w:num w:numId="45" w16cid:durableId="303628696">
    <w:abstractNumId w:val="37"/>
  </w:num>
  <w:num w:numId="46" w16cid:durableId="156194530">
    <w:abstractNumId w:val="32"/>
  </w:num>
  <w:num w:numId="47" w16cid:durableId="1279340661">
    <w:abstractNumId w:val="35"/>
  </w:num>
  <w:num w:numId="48" w16cid:durableId="4187899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92"/>
    <w:rsid w:val="00001DAE"/>
    <w:rsid w:val="0002095A"/>
    <w:rsid w:val="00036BD5"/>
    <w:rsid w:val="000650AB"/>
    <w:rsid w:val="000803A4"/>
    <w:rsid w:val="0008678D"/>
    <w:rsid w:val="00090D3E"/>
    <w:rsid w:val="000A4592"/>
    <w:rsid w:val="000C2F76"/>
    <w:rsid w:val="000D6F02"/>
    <w:rsid w:val="00101A65"/>
    <w:rsid w:val="00101C3F"/>
    <w:rsid w:val="00103126"/>
    <w:rsid w:val="00147BD0"/>
    <w:rsid w:val="001506F8"/>
    <w:rsid w:val="00166699"/>
    <w:rsid w:val="00172352"/>
    <w:rsid w:val="00177A62"/>
    <w:rsid w:val="00182BCC"/>
    <w:rsid w:val="001D4ECA"/>
    <w:rsid w:val="00203004"/>
    <w:rsid w:val="00216366"/>
    <w:rsid w:val="00247865"/>
    <w:rsid w:val="00276642"/>
    <w:rsid w:val="00296E72"/>
    <w:rsid w:val="002C5B12"/>
    <w:rsid w:val="00336E52"/>
    <w:rsid w:val="00337E13"/>
    <w:rsid w:val="00357287"/>
    <w:rsid w:val="00361028"/>
    <w:rsid w:val="00385937"/>
    <w:rsid w:val="00386CF8"/>
    <w:rsid w:val="003C0C6D"/>
    <w:rsid w:val="003D08B7"/>
    <w:rsid w:val="00412410"/>
    <w:rsid w:val="00421613"/>
    <w:rsid w:val="00425BE2"/>
    <w:rsid w:val="00446333"/>
    <w:rsid w:val="00454238"/>
    <w:rsid w:val="00457F39"/>
    <w:rsid w:val="00463CD5"/>
    <w:rsid w:val="0048020A"/>
    <w:rsid w:val="00484EDC"/>
    <w:rsid w:val="004A3BA1"/>
    <w:rsid w:val="004B3FE3"/>
    <w:rsid w:val="004B7046"/>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673BB"/>
    <w:rsid w:val="00670873"/>
    <w:rsid w:val="00687871"/>
    <w:rsid w:val="00697801"/>
    <w:rsid w:val="0071143C"/>
    <w:rsid w:val="007701E7"/>
    <w:rsid w:val="00781A9F"/>
    <w:rsid w:val="00786E8B"/>
    <w:rsid w:val="00796F54"/>
    <w:rsid w:val="007C29DF"/>
    <w:rsid w:val="007E4E36"/>
    <w:rsid w:val="007F6055"/>
    <w:rsid w:val="007F7DF8"/>
    <w:rsid w:val="00814537"/>
    <w:rsid w:val="0084403C"/>
    <w:rsid w:val="0084634A"/>
    <w:rsid w:val="00873042"/>
    <w:rsid w:val="00881CC3"/>
    <w:rsid w:val="008C1092"/>
    <w:rsid w:val="008C32DA"/>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F004C"/>
    <w:rsid w:val="00BF0E1C"/>
    <w:rsid w:val="00BF1CAA"/>
    <w:rsid w:val="00C16E84"/>
    <w:rsid w:val="00C2381D"/>
    <w:rsid w:val="00C24BE6"/>
    <w:rsid w:val="00C3702D"/>
    <w:rsid w:val="00C76958"/>
    <w:rsid w:val="00CC3ABF"/>
    <w:rsid w:val="00CC785F"/>
    <w:rsid w:val="00D057E1"/>
    <w:rsid w:val="00D20635"/>
    <w:rsid w:val="00D51B58"/>
    <w:rsid w:val="00D637B2"/>
    <w:rsid w:val="00D9624B"/>
    <w:rsid w:val="00DA6750"/>
    <w:rsid w:val="00DB0FA5"/>
    <w:rsid w:val="00DB1C54"/>
    <w:rsid w:val="00DE047B"/>
    <w:rsid w:val="00E000F7"/>
    <w:rsid w:val="00E058BD"/>
    <w:rsid w:val="00E21E2C"/>
    <w:rsid w:val="00E65E67"/>
    <w:rsid w:val="00E91E48"/>
    <w:rsid w:val="00EB781B"/>
    <w:rsid w:val="00ED4591"/>
    <w:rsid w:val="00ED77C4"/>
    <w:rsid w:val="00EF4D08"/>
    <w:rsid w:val="00F23EC7"/>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109F"/>
  <w15:docId w15:val="{61DB1EFD-8F6A-144B-869C-19D0D359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table" w:styleId="TableGrid">
    <w:name w:val="Table Grid"/>
    <w:basedOn w:val="TableNormal"/>
    <w:uiPriority w:val="39"/>
    <w:rsid w:val="00C7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abletext">
    <w:name w:val="Bulleted table text"/>
    <w:basedOn w:val="Tabletext"/>
    <w:qFormat/>
    <w:rsid w:val="00C76958"/>
    <w:pPr>
      <w:numPr>
        <w:numId w:val="43"/>
      </w:numPr>
    </w:pPr>
  </w:style>
  <w:style w:type="character" w:styleId="UnresolvedMention">
    <w:name w:val="Unresolved Mention"/>
    <w:basedOn w:val="DefaultParagraphFont"/>
    <w:uiPriority w:val="99"/>
    <w:semiHidden/>
    <w:unhideWhenUsed/>
    <w:rsid w:val="0010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ussupport.usc.edu/students/health-and-wellness/" TargetMode="External"/><Relationship Id="rId18" Type="http://schemas.openxmlformats.org/officeDocument/2006/relationships/hyperlink" Target="https://www.mindfulteachers.org/blog/emotionally-responsive-teach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osc.primo.exlibrisgroup.com/permalink/01USC_INST/273cgt/cdi_gale_infotracmisc_A644715308" TargetMode="External"/><Relationship Id="rId7" Type="http://schemas.openxmlformats.org/officeDocument/2006/relationships/endnotes" Target="endnotes.xml"/><Relationship Id="rId12" Type="http://schemas.openxmlformats.org/officeDocument/2006/relationships/hyperlink" Target="https://uosc.primo.exlibrisgroup.com/permalink/01USC_INST/hs9vaa/alma991042442855503731" TargetMode="External"/><Relationship Id="rId17" Type="http://schemas.openxmlformats.org/officeDocument/2006/relationships/hyperlink" Target="https://uosc.primo.exlibrisgroup.com/permalink/01USC_INST/hs9vaa/alma99104349174340373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ndfulteachers.org/blog/principles-of-mindful-learning" TargetMode="External"/><Relationship Id="rId20" Type="http://schemas.openxmlformats.org/officeDocument/2006/relationships/hyperlink" Target="https://www.aacu.org/liberaleducation/articles/mindfulness-in-class-and-in-life-mental-health-and-emotional-resilience-alongside-academic-stud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dful.usc.edu/" TargetMode="External"/><Relationship Id="rId24" Type="http://schemas.openxmlformats.org/officeDocument/2006/relationships/hyperlink" Target="https://acmhe.org/" TargetMode="External"/><Relationship Id="rId5" Type="http://schemas.openxmlformats.org/officeDocument/2006/relationships/webSettings" Target="webSettings.xml"/><Relationship Id="rId15" Type="http://schemas.openxmlformats.org/officeDocument/2006/relationships/hyperlink" Target="https://mindfulscience.usc.edu/" TargetMode="External"/><Relationship Id="rId23" Type="http://schemas.openxmlformats.org/officeDocument/2006/relationships/hyperlink" Target="https://goamra.org/" TargetMode="External"/><Relationship Id="rId10" Type="http://schemas.openxmlformats.org/officeDocument/2006/relationships/hyperlink" Target="https://cet.usc.edu/contact-us/" TargetMode="External"/><Relationship Id="rId19" Type="http://schemas.openxmlformats.org/officeDocument/2006/relationships/hyperlink" Target="https://uosc.primo.exlibrisgroup.com/permalink/01USC_INST/273cgt/cdi_askewsholts_vlebooks_978100075559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ndful.usc.edu/" TargetMode="External"/><Relationship Id="rId22" Type="http://schemas.openxmlformats.org/officeDocument/2006/relationships/hyperlink" Target="https://uosc.primo.exlibrisgroup.com/permalink/01USC_INST/273cgt/cdi_proquest_journals_87814561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Susie Newcomb</cp:lastModifiedBy>
  <cp:revision>6</cp:revision>
  <dcterms:created xsi:type="dcterms:W3CDTF">2023-09-28T18:14:00Z</dcterms:created>
  <dcterms:modified xsi:type="dcterms:W3CDTF">2023-09-28T20:12:00Z</dcterms:modified>
</cp:coreProperties>
</file>