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DD735" w14:textId="77777777" w:rsidR="008F5396" w:rsidRDefault="00000000">
      <w:pPr>
        <w:pStyle w:val="Heading1"/>
        <w:ind w:left="0"/>
      </w:pPr>
      <w:r>
        <w:rPr>
          <w:noProof/>
        </w:rPr>
        <w:drawing>
          <wp:inline distT="0" distB="0" distL="0" distR="0" wp14:anchorId="11C4B796" wp14:editId="42C3C045">
            <wp:extent cx="2359660" cy="867410"/>
            <wp:effectExtent l="0" t="0" r="0" b="0"/>
            <wp:docPr id="1" name="image1.png" descr="Logo of the University of Southern California"/>
            <wp:cNvGraphicFramePr/>
            <a:graphic xmlns:a="http://schemas.openxmlformats.org/drawingml/2006/main">
              <a:graphicData uri="http://schemas.openxmlformats.org/drawingml/2006/picture">
                <pic:pic xmlns:pic="http://schemas.openxmlformats.org/drawingml/2006/picture">
                  <pic:nvPicPr>
                    <pic:cNvPr id="0" name="image1.png" descr="Logo of the University of Southern California"/>
                    <pic:cNvPicPr preferRelativeResize="0"/>
                  </pic:nvPicPr>
                  <pic:blipFill>
                    <a:blip r:embed="rId8"/>
                    <a:srcRect/>
                    <a:stretch>
                      <a:fillRect/>
                    </a:stretch>
                  </pic:blipFill>
                  <pic:spPr>
                    <a:xfrm>
                      <a:off x="0" y="0"/>
                      <a:ext cx="2359660" cy="867410"/>
                    </a:xfrm>
                    <a:prstGeom prst="rect">
                      <a:avLst/>
                    </a:prstGeom>
                    <a:ln/>
                  </pic:spPr>
                </pic:pic>
              </a:graphicData>
            </a:graphic>
          </wp:inline>
        </w:drawing>
      </w:r>
    </w:p>
    <w:p w14:paraId="3C05FAB3" w14:textId="77777777" w:rsidR="008F5396" w:rsidRDefault="008F5396"/>
    <w:p w14:paraId="4C6F74D3" w14:textId="77777777" w:rsidR="008F5396" w:rsidRDefault="00000000">
      <w:pPr>
        <w:pStyle w:val="Heading1"/>
        <w:spacing w:before="480" w:after="120"/>
        <w:ind w:left="0"/>
        <w:rPr>
          <w:sz w:val="46"/>
          <w:szCs w:val="46"/>
        </w:rPr>
      </w:pPr>
      <w:bookmarkStart w:id="0" w:name="_heading=h.88yapy8akzc2" w:colFirst="0" w:colLast="0"/>
      <w:bookmarkEnd w:id="0"/>
      <w:r>
        <w:rPr>
          <w:sz w:val="46"/>
          <w:szCs w:val="46"/>
        </w:rPr>
        <w:t>Course ID and Title</w:t>
      </w:r>
    </w:p>
    <w:p w14:paraId="6AE1ADA6" w14:textId="77777777" w:rsidR="008F5396" w:rsidRDefault="00000000">
      <w:pPr>
        <w:pStyle w:val="Heading2"/>
      </w:pPr>
      <w:bookmarkStart w:id="1" w:name="_heading=h.zeg9t5vbjlot" w:colFirst="0" w:colLast="0"/>
      <w:bookmarkEnd w:id="1"/>
      <w:r>
        <w:t>Units</w:t>
      </w:r>
    </w:p>
    <w:p w14:paraId="6ECFA1D4" w14:textId="77777777" w:rsidR="008F5396" w:rsidRDefault="00000000">
      <w:pPr>
        <w:pStyle w:val="Heading2"/>
      </w:pPr>
      <w:bookmarkStart w:id="2" w:name="_heading=h.6pr3dp2piolt" w:colFirst="0" w:colLast="0"/>
      <w:bookmarkEnd w:id="2"/>
      <w:r>
        <w:t>Semester—</w:t>
      </w:r>
      <w:proofErr w:type="gramStart"/>
      <w:r>
        <w:t>Day—Time</w:t>
      </w:r>
      <w:proofErr w:type="gramEnd"/>
    </w:p>
    <w:p w14:paraId="2E802AD7" w14:textId="77777777" w:rsidR="008F5396" w:rsidRDefault="00000000">
      <w:pPr>
        <w:rPr>
          <w:b/>
          <w:bCs/>
          <w:sz w:val="24"/>
          <w:szCs w:val="24"/>
        </w:rPr>
      </w:pPr>
      <w:r>
        <w:t xml:space="preserve">Template guidance: The general expectation for a standard format course offered in a standard 15-week term is that the number of 50-minute contact hours per week should equal the number of semester units indicated and that one semester unit entails 1 hour of class time and 2 hours of outside work (3 hours total) per week. Standard fall and spring sessions (001) require a final summative experience during the University scheduled final exam day and time. Please refer to the </w:t>
      </w:r>
      <w:hyperlink r:id="rId9" w:anchor="chapter=curriculum-resources">
        <w:r>
          <w:rPr>
            <w:color w:val="1155CC"/>
            <w:u w:val="single"/>
          </w:rPr>
          <w:t>Curriculum Office Resources</w:t>
        </w:r>
      </w:hyperlink>
      <w:r>
        <w:t xml:space="preserve"> page to find guidelines for courses that do not follow a standard format and/or a standard term.</w:t>
      </w:r>
    </w:p>
    <w:p w14:paraId="05F85872" w14:textId="77777777" w:rsidR="008F5396" w:rsidRDefault="00000000">
      <w:pPr>
        <w:pStyle w:val="Heading2"/>
      </w:pPr>
      <w:bookmarkStart w:id="3" w:name="_heading=h.1fq760qd794q" w:colFirst="0" w:colLast="0"/>
      <w:bookmarkEnd w:id="3"/>
      <w:r>
        <w:t>Location and Modality</w:t>
      </w:r>
    </w:p>
    <w:p w14:paraId="2365B4D4" w14:textId="77777777" w:rsidR="008F5396" w:rsidRDefault="00000000">
      <w:pPr>
        <w:rPr>
          <w:rFonts w:ascii="Helvetica Neue" w:eastAsia="Helvetica Neue" w:hAnsi="Helvetica Neue" w:cs="Helvetica Neue"/>
          <w:b/>
          <w:bCs/>
        </w:rPr>
      </w:pPr>
      <w:r>
        <w:t>Physical or virtual address and course modality (</w:t>
      </w:r>
      <w:proofErr w:type="spellStart"/>
      <w:r>
        <w:t>onground</w:t>
      </w:r>
      <w:proofErr w:type="spellEnd"/>
      <w:r>
        <w:t>, hybrid, or online).</w:t>
      </w:r>
      <w:r>
        <w:rPr>
          <w:rFonts w:ascii="Helvetica Neue" w:eastAsia="Helvetica Neue" w:hAnsi="Helvetica Neue" w:cs="Helvetica Neue"/>
          <w:b/>
          <w:bCs/>
        </w:rPr>
        <w:t xml:space="preserve"> </w:t>
      </w:r>
    </w:p>
    <w:p w14:paraId="0FD6F153" w14:textId="77777777" w:rsidR="008F5396" w:rsidRDefault="00000000">
      <w:pPr>
        <w:pStyle w:val="Heading2"/>
      </w:pPr>
      <w:bookmarkStart w:id="4" w:name="_heading=h.ezjwcjg6f1vt" w:colFirst="0" w:colLast="0"/>
      <w:bookmarkEnd w:id="4"/>
      <w:r>
        <w:t>Instructor Information</w:t>
      </w:r>
    </w:p>
    <w:p w14:paraId="43F4BB7E" w14:textId="77777777" w:rsidR="008F5396" w:rsidRDefault="00000000" w:rsidP="00490B33">
      <w:pPr>
        <w:pStyle w:val="Heading3"/>
        <w:ind w:left="0"/>
        <w:rPr>
          <w:b w:val="0"/>
          <w:bCs w:val="0"/>
        </w:rPr>
      </w:pPr>
      <w:bookmarkStart w:id="5" w:name="_heading=h.xsqhg7fwakzr" w:colFirst="0" w:colLast="0"/>
      <w:bookmarkEnd w:id="5"/>
      <w:r>
        <w:t xml:space="preserve">Office:  </w:t>
      </w:r>
      <w:r>
        <w:rPr>
          <w:b w:val="0"/>
          <w:bCs w:val="0"/>
        </w:rPr>
        <w:t>Physical or virtual address.</w:t>
      </w:r>
    </w:p>
    <w:p w14:paraId="1EC9AF69" w14:textId="77777777" w:rsidR="008F5396" w:rsidRDefault="00000000" w:rsidP="00490B33">
      <w:pPr>
        <w:pStyle w:val="Heading3"/>
        <w:ind w:left="0"/>
        <w:rPr>
          <w:b w:val="0"/>
          <w:bCs w:val="0"/>
        </w:rPr>
      </w:pPr>
      <w:bookmarkStart w:id="6" w:name="_heading=h.kmz7sl45fgry" w:colFirst="0" w:colLast="0"/>
      <w:bookmarkEnd w:id="6"/>
      <w:r>
        <w:t xml:space="preserve">Office Hours: </w:t>
      </w:r>
      <w:r>
        <w:rPr>
          <w:b w:val="0"/>
          <w:bCs w:val="0"/>
        </w:rPr>
        <w:t>The general guideline is for one weekly office hour for each class taught. Office hours do not count as contact hours.</w:t>
      </w:r>
    </w:p>
    <w:p w14:paraId="3A5B126E" w14:textId="77777777" w:rsidR="008F5396" w:rsidRDefault="00000000" w:rsidP="00490B33">
      <w:pPr>
        <w:pStyle w:val="Heading3"/>
        <w:ind w:left="0"/>
      </w:pPr>
      <w:bookmarkStart w:id="7" w:name="_heading=h.33ut0jwiw0pr" w:colFirst="0" w:colLast="0"/>
      <w:bookmarkEnd w:id="7"/>
      <w:r>
        <w:t xml:space="preserve">Contact Info: </w:t>
      </w:r>
      <w:r>
        <w:rPr>
          <w:b w:val="0"/>
          <w:bCs w:val="0"/>
        </w:rPr>
        <w:t>Email, office phone number, Slack, Zoom, etc. Timeline for replying to emails/calls.</w:t>
      </w:r>
    </w:p>
    <w:p w14:paraId="52DEE425" w14:textId="77777777" w:rsidR="008F5396" w:rsidRDefault="00000000">
      <w:pPr>
        <w:pStyle w:val="Heading2"/>
      </w:pPr>
      <w:bookmarkStart w:id="8" w:name="_heading=h.kp23u8ku25hh" w:colFirst="0" w:colLast="0"/>
      <w:bookmarkEnd w:id="8"/>
      <w:r>
        <w:t>Teaching Assistant Information</w:t>
      </w:r>
    </w:p>
    <w:p w14:paraId="4BE345A5" w14:textId="77777777" w:rsidR="008F5396" w:rsidRDefault="008F5396"/>
    <w:p w14:paraId="68F39B7D" w14:textId="77777777" w:rsidR="008F5396" w:rsidRDefault="00000000" w:rsidP="00490B33">
      <w:pPr>
        <w:pStyle w:val="Heading3"/>
        <w:ind w:left="0"/>
        <w:rPr>
          <w:b w:val="0"/>
          <w:bCs w:val="0"/>
        </w:rPr>
      </w:pPr>
      <w:bookmarkStart w:id="9" w:name="_heading=h.eyqbbeqawjl1" w:colFirst="0" w:colLast="0"/>
      <w:bookmarkEnd w:id="9"/>
      <w:r>
        <w:t xml:space="preserve">Office:  </w:t>
      </w:r>
      <w:r>
        <w:rPr>
          <w:b w:val="0"/>
          <w:bCs w:val="0"/>
        </w:rPr>
        <w:t>Physical or virtual address.</w:t>
      </w:r>
    </w:p>
    <w:p w14:paraId="64A0EE5D" w14:textId="77777777" w:rsidR="008F5396" w:rsidRDefault="00000000" w:rsidP="00490B33">
      <w:pPr>
        <w:pStyle w:val="Heading3"/>
        <w:ind w:left="0"/>
        <w:rPr>
          <w:b w:val="0"/>
          <w:bCs w:val="0"/>
        </w:rPr>
      </w:pPr>
      <w:bookmarkStart w:id="10" w:name="_heading=h.48xjxbb1cjsw" w:colFirst="0" w:colLast="0"/>
      <w:bookmarkEnd w:id="10"/>
      <w:r>
        <w:t xml:space="preserve">Office Hours: </w:t>
      </w:r>
      <w:r>
        <w:rPr>
          <w:b w:val="0"/>
          <w:bCs w:val="0"/>
        </w:rPr>
        <w:t xml:space="preserve">The general guideline is for one weekly office hour for each class taught. </w:t>
      </w:r>
    </w:p>
    <w:p w14:paraId="0CE54B77" w14:textId="77777777" w:rsidR="008F5396" w:rsidRDefault="00000000">
      <w:pPr>
        <w:rPr>
          <w:b/>
          <w:bCs/>
        </w:rPr>
      </w:pPr>
      <w:r>
        <w:rPr>
          <w:b/>
          <w:bCs/>
        </w:rPr>
        <w:t xml:space="preserve">Contact Info: </w:t>
      </w:r>
      <w:r>
        <w:t xml:space="preserve">Email, office phone number, </w:t>
      </w:r>
      <w:proofErr w:type="gramStart"/>
      <w:r>
        <w:t>Slack,  Zoom</w:t>
      </w:r>
      <w:proofErr w:type="gramEnd"/>
      <w:r>
        <w:t>, etc. Timeline for replying to emails/calls.</w:t>
      </w:r>
    </w:p>
    <w:p w14:paraId="538CDA5D" w14:textId="77777777" w:rsidR="008F5396" w:rsidRDefault="00000000">
      <w:pPr>
        <w:pStyle w:val="Heading2"/>
      </w:pPr>
      <w:bookmarkStart w:id="11" w:name="_heading=h.bvppsawyd8qw" w:colFirst="0" w:colLast="0"/>
      <w:bookmarkEnd w:id="11"/>
      <w:r>
        <w:lastRenderedPageBreak/>
        <w:t>IT Help</w:t>
      </w:r>
    </w:p>
    <w:p w14:paraId="5DA1FC39" w14:textId="77777777" w:rsidR="008F5396" w:rsidRDefault="00000000">
      <w:pPr>
        <w:spacing w:before="280" w:after="80"/>
      </w:pPr>
      <w:r>
        <w:rPr>
          <w:b/>
          <w:bCs/>
        </w:rPr>
        <w:t xml:space="preserve">Hours of Service: </w:t>
      </w:r>
      <w:r>
        <w:t xml:space="preserve">School-based or university ITS support. </w:t>
      </w:r>
    </w:p>
    <w:p w14:paraId="2A55F9C4" w14:textId="77777777" w:rsidR="008F5396" w:rsidRDefault="00000000">
      <w:pPr>
        <w:spacing w:before="280" w:after="80"/>
        <w:rPr>
          <w:b/>
          <w:bCs/>
        </w:rPr>
      </w:pPr>
      <w:r>
        <w:rPr>
          <w:b/>
          <w:bCs/>
        </w:rPr>
        <w:t xml:space="preserve">Contact Info: </w:t>
      </w:r>
      <w:r>
        <w:t>[Email, phone number].</w:t>
      </w:r>
    </w:p>
    <w:p w14:paraId="3F5B8CA0" w14:textId="77777777" w:rsidR="008F5396" w:rsidRDefault="00000000">
      <w:pPr>
        <w:pStyle w:val="Heading2"/>
      </w:pPr>
      <w:bookmarkStart w:id="12" w:name="_heading=h.o977ktrvpc28" w:colFirst="0" w:colLast="0"/>
      <w:bookmarkEnd w:id="12"/>
      <w:r>
        <w:t>Course Description</w:t>
      </w:r>
    </w:p>
    <w:p w14:paraId="362EA759" w14:textId="77777777" w:rsidR="008F5396" w:rsidRDefault="00000000">
      <w:pPr>
        <w:spacing w:before="240" w:after="240"/>
      </w:pPr>
      <w:r>
        <w:t>Template Guidance: The Course Description should expand upon the brief description published in the University catalogue. In addition to summarizing the central topics, methods, and scope of the course, instructors can identify the intended student audience (e.g., majors, non-majors, graduate students, students with prior coursework, etc.) and explain how the course fits within a broader program of study or professional development. This section may also include aspirational statements that communicate the broader intellectual, ethical, professional, or personal goals of the course. Aspirational statements are distinct from measurable learning objectives and should not describe outcomes that will be formally assessed during the semester. Instead, they articulate habits of mind, values, perspectives, or long-term capacities that the instructor hopes students will continue to cultivate beyond the course.</w:t>
      </w:r>
    </w:p>
    <w:p w14:paraId="36D6D747" w14:textId="77777777" w:rsidR="008F5396" w:rsidRDefault="00000000">
      <w:pPr>
        <w:pStyle w:val="Heading2"/>
      </w:pPr>
      <w:bookmarkStart w:id="13" w:name="_heading=h.eideqkfo1ggx" w:colFirst="0" w:colLast="0"/>
      <w:bookmarkEnd w:id="13"/>
      <w:r>
        <w:t>Learning Objectives</w:t>
      </w:r>
    </w:p>
    <w:p w14:paraId="6B0D7F61" w14:textId="77777777" w:rsidR="008F5396" w:rsidRDefault="00000000">
      <w:r>
        <w:t xml:space="preserve">Template guidance: Learning Objectives identify the specific, measurable skills a student will demonstrate by the end of the course. Learning objectives should be both taught and assessed by the instructor. They are aligned with the assignments, assessments and learning materials. They complete the sentence “By the end of this course, students will be able to” and avoid verbs such as understand, learn, and know. Refer to </w:t>
      </w:r>
      <w:hyperlink r:id="rId10">
        <w:r>
          <w:rPr>
            <w:color w:val="1155CC"/>
            <w:u w:val="single"/>
          </w:rPr>
          <w:t>CET resources</w:t>
        </w:r>
      </w:hyperlink>
      <w:r>
        <w:t xml:space="preserve"> on learning objectives.</w:t>
      </w:r>
    </w:p>
    <w:p w14:paraId="7FDC9C1A" w14:textId="77777777" w:rsidR="008F5396" w:rsidRDefault="00000000">
      <w:r>
        <w:t xml:space="preserve"> </w:t>
      </w:r>
    </w:p>
    <w:p w14:paraId="4D5D98FD" w14:textId="77777777" w:rsidR="008F5396" w:rsidRDefault="00000000" w:rsidP="00490B33">
      <w:pPr>
        <w:pStyle w:val="Heading3"/>
        <w:ind w:left="0" w:right="60"/>
        <w:rPr>
          <w:b w:val="0"/>
          <w:bCs w:val="0"/>
        </w:rPr>
      </w:pPr>
      <w:bookmarkStart w:id="14" w:name="_heading=h.aerdwvrdpxye" w:colFirst="0" w:colLast="0"/>
      <w:bookmarkEnd w:id="14"/>
      <w:r>
        <w:t xml:space="preserve">Prerequisite(s): </w:t>
      </w:r>
      <w:r>
        <w:rPr>
          <w:b w:val="0"/>
          <w:bCs w:val="0"/>
        </w:rPr>
        <w:t>course(s) that must be taken prior to this course.</w:t>
      </w:r>
    </w:p>
    <w:p w14:paraId="1AC31261" w14:textId="77777777" w:rsidR="008F5396" w:rsidRDefault="00000000" w:rsidP="00490B33">
      <w:pPr>
        <w:pStyle w:val="Heading3"/>
        <w:ind w:left="0" w:right="-580"/>
        <w:rPr>
          <w:b w:val="0"/>
          <w:bCs w:val="0"/>
        </w:rPr>
      </w:pPr>
      <w:bookmarkStart w:id="15" w:name="_heading=h.pf203r4ejs80" w:colFirst="0" w:colLast="0"/>
      <w:bookmarkEnd w:id="15"/>
      <w:r>
        <w:t xml:space="preserve">Concurrent Enrollment: </w:t>
      </w:r>
      <w:r>
        <w:rPr>
          <w:b w:val="0"/>
          <w:bCs w:val="0"/>
        </w:rPr>
        <w:t>course(s) that must be taken simultaneously.</w:t>
      </w:r>
    </w:p>
    <w:p w14:paraId="48A4DF5D" w14:textId="77777777" w:rsidR="008F5396" w:rsidRDefault="00000000" w:rsidP="00490B33">
      <w:pPr>
        <w:pStyle w:val="Heading3"/>
        <w:ind w:left="0" w:right="-40"/>
        <w:rPr>
          <w:sz w:val="34"/>
          <w:szCs w:val="34"/>
        </w:rPr>
      </w:pPr>
      <w:bookmarkStart w:id="16" w:name="_heading=h.j35mygg5folq" w:colFirst="0" w:colLast="0"/>
      <w:bookmarkEnd w:id="16"/>
      <w:r>
        <w:t xml:space="preserve">Recommended Preparation: </w:t>
      </w:r>
      <w:r>
        <w:rPr>
          <w:b w:val="0"/>
          <w:bCs w:val="0"/>
        </w:rPr>
        <w:t>course work or background that is advisable, not mandatory.</w:t>
      </w:r>
    </w:p>
    <w:p w14:paraId="7819E19A" w14:textId="77777777" w:rsidR="008F5396" w:rsidRDefault="00000000">
      <w:pPr>
        <w:pStyle w:val="Heading2"/>
      </w:pPr>
      <w:bookmarkStart w:id="17" w:name="_heading=h.q2l3qyhrehrt" w:colFirst="0" w:colLast="0"/>
      <w:bookmarkEnd w:id="17"/>
      <w:r>
        <w:t>Technological Proficiency and Hardware/Software Required</w:t>
      </w:r>
    </w:p>
    <w:p w14:paraId="13F0C397" w14:textId="77777777" w:rsidR="008F5396" w:rsidRDefault="00000000">
      <w:pPr>
        <w:rPr>
          <w:b/>
          <w:bCs/>
        </w:rPr>
      </w:pPr>
      <w:r>
        <w:t xml:space="preserve">Template guidance: If applicable, provide details of accessing the course materials (Brightspace, Canvas, other). It is important to let students know if there are specific software or hardware requirements, any costs, and instructions for access. Link information for: the </w:t>
      </w:r>
      <w:hyperlink r:id="rId11">
        <w:r>
          <w:rPr>
            <w:color w:val="1155CC"/>
            <w:u w:val="single"/>
          </w:rPr>
          <w:t>USC Computing Center Laptop Loaner Program</w:t>
        </w:r>
      </w:hyperlink>
      <w:r>
        <w:t>; for</w:t>
      </w:r>
      <w:hyperlink r:id="rId12">
        <w:r>
          <w:rPr>
            <w:color w:val="1155CC"/>
            <w:u w:val="single"/>
          </w:rPr>
          <w:t xml:space="preserve"> software support and availability</w:t>
        </w:r>
      </w:hyperlink>
      <w:r>
        <w:t>; for technology support for learning management platforms used in the course (</w:t>
      </w:r>
      <w:hyperlink r:id="rId13">
        <w:r>
          <w:rPr>
            <w:color w:val="1155CC"/>
            <w:u w:val="single"/>
          </w:rPr>
          <w:t>USC Brightspace Student Support</w:t>
        </w:r>
      </w:hyperlink>
      <w:r>
        <w:t xml:space="preserve">). </w:t>
      </w:r>
    </w:p>
    <w:p w14:paraId="168C27E3" w14:textId="77777777" w:rsidR="008F5396" w:rsidRDefault="00000000">
      <w:pPr>
        <w:pStyle w:val="Heading2"/>
      </w:pPr>
      <w:bookmarkStart w:id="18" w:name="_heading=h.tcmovxiobtsf" w:colFirst="0" w:colLast="0"/>
      <w:bookmarkEnd w:id="18"/>
      <w:r>
        <w:t>Readings and Supplementary Materials</w:t>
      </w:r>
    </w:p>
    <w:p w14:paraId="19E2F381" w14:textId="77777777" w:rsidR="008F5396" w:rsidRDefault="00000000">
      <w:pPr>
        <w:rPr>
          <w:b/>
          <w:bCs/>
        </w:rPr>
      </w:pPr>
      <w:r>
        <w:t xml:space="preserve">Template Guidance: For each required material, provide sufficient information for students to locate and access it, including author, title, edition, and where/how it may be obtained (e.g., USC Bookstore, USC Libraries, online databases, Learning Management System, or other course platforms). Clearly indicate between required and optional materials. </w:t>
      </w:r>
    </w:p>
    <w:p w14:paraId="32A44CA5" w14:textId="77777777" w:rsidR="008F5396" w:rsidRDefault="00000000">
      <w:pPr>
        <w:pStyle w:val="Heading2"/>
      </w:pPr>
      <w:r>
        <w:t>Assessments and Assignments</w:t>
      </w:r>
    </w:p>
    <w:p w14:paraId="641D12EE" w14:textId="77777777" w:rsidR="008F5396" w:rsidRDefault="00000000" w:rsidP="00490B33">
      <w:pPr>
        <w:pStyle w:val="Heading3"/>
        <w:ind w:left="0"/>
      </w:pPr>
      <w:bookmarkStart w:id="19" w:name="_heading=h.sodnxuumxqmz" w:colFirst="0" w:colLast="0"/>
      <w:bookmarkEnd w:id="19"/>
      <w:r>
        <w:t>Requirements for research papers and assignments.</w:t>
      </w:r>
    </w:p>
    <w:p w14:paraId="4A6C2F1E" w14:textId="77777777" w:rsidR="008F5396" w:rsidRDefault="00000000">
      <w:r>
        <w:t xml:space="preserve">Template guidance: Assignments should align with the learning objectives, meaning that each assignment measures student performance on at least one learning objective. This section should describe each </w:t>
      </w:r>
      <w:r>
        <w:lastRenderedPageBreak/>
        <w:t xml:space="preserve">assignment, explain how it maps to the learning objective(s), and indicate how it will be graded. Faculty may provide detailed assignment descriptions or brief overviews, reserving full assignment prompts and instructions for distribution through the learning management system. Every category of graded work should be described briefly. Programs may also require grading rubrics to be included in the syllabus. Additional assignment and rubric resources are available on the </w:t>
      </w:r>
      <w:hyperlink r:id="rId14">
        <w:r>
          <w:rPr>
            <w:color w:val="1155CC"/>
            <w:u w:val="single"/>
          </w:rPr>
          <w:t>CET website</w:t>
        </w:r>
      </w:hyperlink>
      <w:r>
        <w:t>.</w:t>
      </w:r>
    </w:p>
    <w:p w14:paraId="33587900" w14:textId="77777777" w:rsidR="008F5396" w:rsidRDefault="008F5396">
      <w:pPr>
        <w:pStyle w:val="Heading3"/>
        <w:ind w:left="0"/>
      </w:pPr>
      <w:bookmarkStart w:id="20" w:name="_heading=h.lozd4q5dd570" w:colFirst="0" w:colLast="0"/>
      <w:bookmarkEnd w:id="20"/>
    </w:p>
    <w:p w14:paraId="6426CC70" w14:textId="77777777" w:rsidR="008F5396" w:rsidRDefault="00000000" w:rsidP="00490B33">
      <w:pPr>
        <w:pStyle w:val="Heading3"/>
        <w:ind w:left="0"/>
      </w:pPr>
      <w:bookmarkStart w:id="21" w:name="_heading=h.rkqr15t99ian" w:colFirst="0" w:colLast="0"/>
      <w:bookmarkEnd w:id="21"/>
      <w:r>
        <w:t>Participation</w:t>
      </w:r>
    </w:p>
    <w:p w14:paraId="3F7DE3EB" w14:textId="77777777" w:rsidR="008F5396" w:rsidRDefault="00000000">
      <w:r>
        <w:t xml:space="preserve">Template guidance: Credit for participation should be clearly explained, including what students must do to earn participation credit. In-class activities may be included as part of the participation grade. In accordance with the </w:t>
      </w:r>
      <w:hyperlink r:id="rId15">
        <w:r>
          <w:rPr>
            <w:color w:val="1155CC"/>
            <w:u w:val="single"/>
          </w:rPr>
          <w:t>Curriculum Handbook</w:t>
        </w:r>
      </w:hyperlink>
      <w:r>
        <w:t xml:space="preserve"> (page 43), participation should not exceed 15% of the total course grade. If participation exceeds 15%, the syllabus must provide additional justification and explanation. No portion of the course grade may be awarded solely for class attendance. However, non-attendance may be used as a basis for lowering a student's grade when the policy is clearly stated in the syllabus (UCOC, March 2019). Faculty should clearly distinguish between attendance and participation and explain how participation will be assessed and graded.</w:t>
      </w:r>
    </w:p>
    <w:p w14:paraId="5B9D722E" w14:textId="77777777" w:rsidR="008F5396" w:rsidRDefault="00000000">
      <w:pPr>
        <w:pStyle w:val="Heading2"/>
      </w:pPr>
      <w:bookmarkStart w:id="22" w:name="_heading=h.tp34u5nhhj8d" w:colFirst="0" w:colLast="0"/>
      <w:bookmarkEnd w:id="22"/>
      <w:r>
        <w:t>Grading Breakdown and Scale</w:t>
      </w:r>
    </w:p>
    <w:p w14:paraId="42323750" w14:textId="77777777" w:rsidR="008F5396" w:rsidRDefault="00000000">
      <w:r>
        <w:t>Template guidance: Using the assignments described above, explain how final course grades will be calculated. Provide a grading breakdown that lists each graded component and its percentage value. The percentages assigned to all graded components must total 100%. Faculty should also provide the grading scale used to determine final course grades and should check with their program to determine whether a program-specific grading scale is required. Additional information on USC grading policies is available through the</w:t>
      </w:r>
      <w:hyperlink r:id="rId16">
        <w:r>
          <w:rPr>
            <w:color w:val="1155CC"/>
            <w:u w:val="single"/>
          </w:rPr>
          <w:t xml:space="preserve"> Office of Academic Records and Registrar</w:t>
        </w:r>
      </w:hyperlink>
      <w:r>
        <w:t>.</w:t>
      </w:r>
    </w:p>
    <w:p w14:paraId="1B80C16B" w14:textId="77777777" w:rsidR="008F5396" w:rsidRDefault="00000000">
      <w:pPr>
        <w:ind w:left="1440"/>
      </w:pPr>
      <w:r>
        <w:t xml:space="preserve"> </w:t>
      </w:r>
    </w:p>
    <w:p w14:paraId="3588F90B" w14:textId="77777777" w:rsidR="008F5396" w:rsidRDefault="00000000">
      <w:pPr>
        <w:pStyle w:val="Heading3"/>
        <w:spacing w:before="280" w:after="80"/>
        <w:ind w:left="0"/>
        <w:rPr>
          <w:sz w:val="26"/>
          <w:szCs w:val="26"/>
        </w:rPr>
      </w:pPr>
      <w:bookmarkStart w:id="23" w:name="_heading=h.1b7a6ap61o4v" w:colFirst="0" w:colLast="0"/>
      <w:bookmarkEnd w:id="23"/>
      <w:r>
        <w:rPr>
          <w:sz w:val="26"/>
          <w:szCs w:val="26"/>
        </w:rPr>
        <w:t>Table 1 Grading Breakdown</w:t>
      </w:r>
    </w:p>
    <w:p w14:paraId="62C6E64C" w14:textId="77777777" w:rsidR="008F5396" w:rsidRDefault="00000000">
      <w:r>
        <w:t xml:space="preserve"> </w:t>
      </w:r>
    </w:p>
    <w:sdt>
      <w:sdtPr>
        <w:tag w:val="goog_rdk_0"/>
        <w:id w:val="1454051345"/>
        <w:lock w:val="contentLocked"/>
      </w:sdtPr>
      <w:sdtContent>
        <w:tbl>
          <w:tblPr>
            <w:tblStyle w:val="a"/>
            <w:tblW w:w="87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8"/>
            <w:gridCol w:w="2928"/>
            <w:gridCol w:w="2928"/>
          </w:tblGrid>
          <w:tr w:rsidR="008F5396" w14:paraId="612115D2" w14:textId="77777777">
            <w:trPr>
              <w:tblHeader/>
            </w:trPr>
            <w:tc>
              <w:tcPr>
                <w:tcW w:w="2928" w:type="dxa"/>
                <w:tcMar>
                  <w:top w:w="100" w:type="dxa"/>
                  <w:left w:w="100" w:type="dxa"/>
                  <w:bottom w:w="100" w:type="dxa"/>
                  <w:right w:w="100" w:type="dxa"/>
                </w:tcMar>
              </w:tcPr>
              <w:p w14:paraId="037DE082" w14:textId="77777777" w:rsidR="008F5396" w:rsidRDefault="00000000">
                <w:pPr>
                  <w:widowControl w:val="0"/>
                  <w:pBdr>
                    <w:top w:val="nil"/>
                    <w:left w:val="nil"/>
                    <w:bottom w:val="nil"/>
                    <w:right w:val="nil"/>
                    <w:between w:val="nil"/>
                  </w:pBdr>
                </w:pPr>
                <w:r>
                  <w:t>Assignment/Assessment Name or Type</w:t>
                </w:r>
              </w:p>
            </w:tc>
            <w:tc>
              <w:tcPr>
                <w:tcW w:w="2928" w:type="dxa"/>
                <w:tcMar>
                  <w:top w:w="100" w:type="dxa"/>
                  <w:left w:w="100" w:type="dxa"/>
                  <w:bottom w:w="100" w:type="dxa"/>
                  <w:right w:w="100" w:type="dxa"/>
                </w:tcMar>
              </w:tcPr>
              <w:p w14:paraId="0F1A881D" w14:textId="77777777" w:rsidR="008F5396" w:rsidRDefault="00000000">
                <w:pPr>
                  <w:widowControl w:val="0"/>
                  <w:pBdr>
                    <w:top w:val="nil"/>
                    <w:left w:val="nil"/>
                    <w:bottom w:val="nil"/>
                    <w:right w:val="nil"/>
                    <w:between w:val="nil"/>
                  </w:pBdr>
                </w:pPr>
                <w:r>
                  <w:t>Points</w:t>
                </w:r>
              </w:p>
            </w:tc>
            <w:tc>
              <w:tcPr>
                <w:tcW w:w="2928" w:type="dxa"/>
                <w:tcMar>
                  <w:top w:w="100" w:type="dxa"/>
                  <w:left w:w="100" w:type="dxa"/>
                  <w:bottom w:w="100" w:type="dxa"/>
                  <w:right w:w="100" w:type="dxa"/>
                </w:tcMar>
              </w:tcPr>
              <w:p w14:paraId="07E46C72" w14:textId="77777777" w:rsidR="008F5396" w:rsidRDefault="00000000">
                <w:pPr>
                  <w:widowControl w:val="0"/>
                  <w:pBdr>
                    <w:top w:val="nil"/>
                    <w:left w:val="nil"/>
                    <w:bottom w:val="nil"/>
                    <w:right w:val="nil"/>
                    <w:between w:val="nil"/>
                  </w:pBdr>
                </w:pPr>
                <w:r>
                  <w:t>Percentage of Final Grades</w:t>
                </w:r>
              </w:p>
            </w:tc>
          </w:tr>
          <w:tr w:rsidR="008F5396" w14:paraId="7DBF2A3A" w14:textId="77777777">
            <w:tc>
              <w:tcPr>
                <w:tcW w:w="2928" w:type="dxa"/>
                <w:tcMar>
                  <w:top w:w="100" w:type="dxa"/>
                  <w:left w:w="100" w:type="dxa"/>
                  <w:bottom w:w="100" w:type="dxa"/>
                  <w:right w:w="100" w:type="dxa"/>
                </w:tcMar>
              </w:tcPr>
              <w:p w14:paraId="4D4F1346" w14:textId="77777777" w:rsidR="008F5396" w:rsidRDefault="008F5396">
                <w:pPr>
                  <w:widowControl w:val="0"/>
                  <w:pBdr>
                    <w:top w:val="nil"/>
                    <w:left w:val="nil"/>
                    <w:bottom w:val="nil"/>
                    <w:right w:val="nil"/>
                    <w:between w:val="nil"/>
                  </w:pBdr>
                </w:pPr>
              </w:p>
            </w:tc>
            <w:tc>
              <w:tcPr>
                <w:tcW w:w="2928" w:type="dxa"/>
                <w:tcMar>
                  <w:top w:w="100" w:type="dxa"/>
                  <w:left w:w="100" w:type="dxa"/>
                  <w:bottom w:w="100" w:type="dxa"/>
                  <w:right w:w="100" w:type="dxa"/>
                </w:tcMar>
              </w:tcPr>
              <w:p w14:paraId="6DA3332D" w14:textId="77777777" w:rsidR="008F5396" w:rsidRDefault="008F5396">
                <w:pPr>
                  <w:widowControl w:val="0"/>
                  <w:pBdr>
                    <w:top w:val="nil"/>
                    <w:left w:val="nil"/>
                    <w:bottom w:val="nil"/>
                    <w:right w:val="nil"/>
                    <w:between w:val="nil"/>
                  </w:pBdr>
                </w:pPr>
              </w:p>
            </w:tc>
            <w:tc>
              <w:tcPr>
                <w:tcW w:w="2928" w:type="dxa"/>
                <w:tcMar>
                  <w:top w:w="100" w:type="dxa"/>
                  <w:left w:w="100" w:type="dxa"/>
                  <w:bottom w:w="100" w:type="dxa"/>
                  <w:right w:w="100" w:type="dxa"/>
                </w:tcMar>
              </w:tcPr>
              <w:p w14:paraId="28EF41E1" w14:textId="77777777" w:rsidR="008F5396" w:rsidRDefault="008F5396">
                <w:pPr>
                  <w:widowControl w:val="0"/>
                  <w:pBdr>
                    <w:top w:val="nil"/>
                    <w:left w:val="nil"/>
                    <w:bottom w:val="nil"/>
                    <w:right w:val="nil"/>
                    <w:between w:val="nil"/>
                  </w:pBdr>
                </w:pPr>
              </w:p>
            </w:tc>
          </w:tr>
          <w:tr w:rsidR="008F5396" w14:paraId="31361620" w14:textId="77777777">
            <w:tc>
              <w:tcPr>
                <w:tcW w:w="2928" w:type="dxa"/>
                <w:tcMar>
                  <w:top w:w="100" w:type="dxa"/>
                  <w:left w:w="100" w:type="dxa"/>
                  <w:bottom w:w="100" w:type="dxa"/>
                  <w:right w:w="100" w:type="dxa"/>
                </w:tcMar>
              </w:tcPr>
              <w:p w14:paraId="29C3FCF1" w14:textId="77777777" w:rsidR="008F5396" w:rsidRDefault="00000000">
                <w:pPr>
                  <w:widowControl w:val="0"/>
                  <w:pBdr>
                    <w:top w:val="nil"/>
                    <w:left w:val="nil"/>
                    <w:bottom w:val="nil"/>
                    <w:right w:val="nil"/>
                    <w:between w:val="nil"/>
                  </w:pBdr>
                </w:pPr>
                <w:r>
                  <w:t>Total</w:t>
                </w:r>
              </w:p>
            </w:tc>
            <w:tc>
              <w:tcPr>
                <w:tcW w:w="2928" w:type="dxa"/>
                <w:tcMar>
                  <w:top w:w="100" w:type="dxa"/>
                  <w:left w:w="100" w:type="dxa"/>
                  <w:bottom w:w="100" w:type="dxa"/>
                  <w:right w:w="100" w:type="dxa"/>
                </w:tcMar>
              </w:tcPr>
              <w:p w14:paraId="5ECB656B" w14:textId="77777777" w:rsidR="008F5396" w:rsidRDefault="008F5396">
                <w:pPr>
                  <w:widowControl w:val="0"/>
                  <w:pBdr>
                    <w:top w:val="nil"/>
                    <w:left w:val="nil"/>
                    <w:bottom w:val="nil"/>
                    <w:right w:val="nil"/>
                    <w:between w:val="nil"/>
                  </w:pBdr>
                </w:pPr>
              </w:p>
            </w:tc>
            <w:tc>
              <w:tcPr>
                <w:tcW w:w="2928" w:type="dxa"/>
                <w:tcMar>
                  <w:top w:w="100" w:type="dxa"/>
                  <w:left w:w="100" w:type="dxa"/>
                  <w:bottom w:w="100" w:type="dxa"/>
                  <w:right w:w="100" w:type="dxa"/>
                </w:tcMar>
              </w:tcPr>
              <w:p w14:paraId="3BFE98BB" w14:textId="77777777" w:rsidR="008F5396" w:rsidRDefault="00000000">
                <w:pPr>
                  <w:widowControl w:val="0"/>
                  <w:pBdr>
                    <w:top w:val="nil"/>
                    <w:left w:val="nil"/>
                    <w:bottom w:val="nil"/>
                    <w:right w:val="nil"/>
                    <w:between w:val="nil"/>
                  </w:pBdr>
                </w:pPr>
              </w:p>
            </w:tc>
          </w:tr>
        </w:tbl>
      </w:sdtContent>
    </w:sdt>
    <w:p w14:paraId="02FB9B73" w14:textId="77777777" w:rsidR="008F5396" w:rsidRDefault="00000000">
      <w:r>
        <w:t xml:space="preserve"> </w:t>
      </w:r>
    </w:p>
    <w:p w14:paraId="09874BBE" w14:textId="77777777" w:rsidR="008F5396" w:rsidRDefault="00000000">
      <w:pPr>
        <w:pStyle w:val="Heading3"/>
        <w:spacing w:before="280" w:after="80"/>
        <w:ind w:left="0"/>
        <w:rPr>
          <w:sz w:val="26"/>
          <w:szCs w:val="26"/>
        </w:rPr>
      </w:pPr>
      <w:bookmarkStart w:id="24" w:name="_heading=h.jzgadobdywq8" w:colFirst="0" w:colLast="0"/>
      <w:bookmarkEnd w:id="24"/>
      <w:r>
        <w:rPr>
          <w:sz w:val="26"/>
          <w:szCs w:val="26"/>
        </w:rPr>
        <w:t>Table 2 Example of a Course Grading Scale</w:t>
      </w:r>
    </w:p>
    <w:p w14:paraId="26717E03" w14:textId="77777777" w:rsidR="008F5396" w:rsidRDefault="00000000">
      <w:r>
        <w:t xml:space="preserve"> </w:t>
      </w:r>
    </w:p>
    <w:tbl>
      <w:tblPr>
        <w:tblStyle w:val="a0"/>
        <w:tblW w:w="48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3240"/>
      </w:tblGrid>
      <w:tr w:rsidR="008F5396" w14:paraId="2C2A4267" w14:textId="77777777">
        <w:trPr>
          <w:trHeight w:val="480"/>
          <w:tblHeader/>
        </w:trPr>
        <w:tc>
          <w:tcPr>
            <w:tcW w:w="1605"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6AFBF638" w14:textId="77777777" w:rsidR="008F5396" w:rsidRDefault="00000000">
            <w:pPr>
              <w:ind w:left="-100"/>
            </w:pPr>
            <w:r>
              <w:t>Letter grade</w:t>
            </w:r>
          </w:p>
        </w:tc>
        <w:tc>
          <w:tcPr>
            <w:tcW w:w="3240"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5F21BBB0" w14:textId="77777777" w:rsidR="008F5396" w:rsidRDefault="00000000">
            <w:pPr>
              <w:ind w:left="-100"/>
            </w:pPr>
            <w:r>
              <w:t>Corresponding numerical point range</w:t>
            </w:r>
          </w:p>
        </w:tc>
      </w:tr>
      <w:tr w:rsidR="008F5396" w14:paraId="7AD3A4E8"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6C423FBC" w14:textId="77777777" w:rsidR="008F5396" w:rsidRDefault="00000000">
            <w:pPr>
              <w:ind w:left="-100"/>
            </w:pPr>
            <w:r>
              <w:t>A</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4493F2BA" w14:textId="77777777" w:rsidR="008F5396" w:rsidRDefault="00000000">
            <w:pPr>
              <w:ind w:left="-100"/>
            </w:pPr>
            <w:r>
              <w:t>95-100</w:t>
            </w:r>
          </w:p>
        </w:tc>
      </w:tr>
      <w:tr w:rsidR="008F5396" w14:paraId="717AB8B4"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246A423B" w14:textId="77777777" w:rsidR="008F5396" w:rsidRDefault="00000000">
            <w:pPr>
              <w:ind w:left="-100"/>
            </w:pPr>
            <w:r>
              <w:t>A-</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1B7BA522" w14:textId="77777777" w:rsidR="008F5396" w:rsidRDefault="00000000">
            <w:pPr>
              <w:ind w:left="-100"/>
            </w:pPr>
            <w:r>
              <w:t>90-94</w:t>
            </w:r>
          </w:p>
        </w:tc>
      </w:tr>
      <w:tr w:rsidR="008F5396" w14:paraId="4E723075"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0C0CC9CE" w14:textId="77777777" w:rsidR="008F5396" w:rsidRDefault="00000000">
            <w:pPr>
              <w:ind w:left="-100"/>
            </w:pPr>
            <w:r>
              <w:t>B+</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61A6936A" w14:textId="77777777" w:rsidR="008F5396" w:rsidRDefault="00000000">
            <w:pPr>
              <w:ind w:left="-100"/>
            </w:pPr>
            <w:r>
              <w:t>87-89</w:t>
            </w:r>
          </w:p>
        </w:tc>
      </w:tr>
      <w:tr w:rsidR="008F5396" w14:paraId="198B47D3"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0DB9E860" w14:textId="77777777" w:rsidR="008F5396" w:rsidRDefault="00000000">
            <w:pPr>
              <w:ind w:left="-100"/>
            </w:pPr>
            <w:r>
              <w:t>B</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3014659F" w14:textId="77777777" w:rsidR="008F5396" w:rsidRDefault="00000000">
            <w:pPr>
              <w:ind w:left="-100"/>
            </w:pPr>
            <w:r>
              <w:t>83-86</w:t>
            </w:r>
          </w:p>
        </w:tc>
      </w:tr>
      <w:tr w:rsidR="008F5396" w14:paraId="7E1D26F7"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0F4F32EF" w14:textId="77777777" w:rsidR="008F5396" w:rsidRDefault="00000000">
            <w:pPr>
              <w:ind w:left="-100"/>
            </w:pPr>
            <w:r>
              <w:t>B-</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6C61C706" w14:textId="77777777" w:rsidR="008F5396" w:rsidRDefault="00000000">
            <w:pPr>
              <w:ind w:left="-100"/>
            </w:pPr>
            <w:r>
              <w:t>80-82</w:t>
            </w:r>
          </w:p>
        </w:tc>
      </w:tr>
      <w:tr w:rsidR="008F5396" w14:paraId="1CAD1634"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F6CC040" w14:textId="77777777" w:rsidR="008F5396" w:rsidRDefault="00000000">
            <w:pPr>
              <w:ind w:left="-100"/>
            </w:pPr>
            <w:r>
              <w:t>C+</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4A182E17" w14:textId="77777777" w:rsidR="008F5396" w:rsidRDefault="00000000">
            <w:pPr>
              <w:ind w:left="-100"/>
            </w:pPr>
            <w:r>
              <w:t>77-79</w:t>
            </w:r>
          </w:p>
        </w:tc>
      </w:tr>
      <w:tr w:rsidR="008F5396" w14:paraId="2712FCB8"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739874F" w14:textId="77777777" w:rsidR="008F5396" w:rsidRDefault="00000000">
            <w:pPr>
              <w:ind w:left="-100"/>
            </w:pPr>
            <w:r>
              <w:t>C</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3508A0F1" w14:textId="77777777" w:rsidR="008F5396" w:rsidRDefault="00000000">
            <w:pPr>
              <w:ind w:left="-100"/>
            </w:pPr>
            <w:r>
              <w:t>73-76</w:t>
            </w:r>
          </w:p>
        </w:tc>
      </w:tr>
      <w:tr w:rsidR="008F5396" w14:paraId="651F485E"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1E75D70B" w14:textId="77777777" w:rsidR="008F5396" w:rsidRDefault="00000000">
            <w:pPr>
              <w:ind w:left="-100"/>
            </w:pPr>
            <w:r>
              <w:t>C-</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29C77D51" w14:textId="77777777" w:rsidR="008F5396" w:rsidRDefault="00000000">
            <w:pPr>
              <w:ind w:left="-100"/>
            </w:pPr>
            <w:r>
              <w:t>70-72</w:t>
            </w:r>
          </w:p>
        </w:tc>
      </w:tr>
      <w:tr w:rsidR="008F5396" w14:paraId="2DCA5A07"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7C2823F9" w14:textId="77777777" w:rsidR="008F5396" w:rsidRDefault="00000000">
            <w:pPr>
              <w:ind w:left="-100"/>
            </w:pPr>
            <w:r>
              <w:t>D+</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2AF901E4" w14:textId="77777777" w:rsidR="008F5396" w:rsidRDefault="00000000">
            <w:pPr>
              <w:ind w:left="-100"/>
            </w:pPr>
            <w:r>
              <w:t>67-69</w:t>
            </w:r>
          </w:p>
        </w:tc>
      </w:tr>
      <w:tr w:rsidR="008F5396" w14:paraId="0AF7C743"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46EC7BFC" w14:textId="77777777" w:rsidR="008F5396" w:rsidRDefault="00000000">
            <w:pPr>
              <w:ind w:left="-100"/>
            </w:pPr>
            <w:r>
              <w:t>D</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795D4A49" w14:textId="77777777" w:rsidR="008F5396" w:rsidRDefault="00000000">
            <w:pPr>
              <w:ind w:left="-100"/>
            </w:pPr>
            <w:r>
              <w:t>63-66</w:t>
            </w:r>
          </w:p>
        </w:tc>
      </w:tr>
      <w:tr w:rsidR="008F5396" w14:paraId="0B83F232"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EA408AA" w14:textId="77777777" w:rsidR="008F5396" w:rsidRDefault="00000000">
            <w:pPr>
              <w:ind w:left="-100"/>
            </w:pPr>
            <w:r>
              <w:lastRenderedPageBreak/>
              <w:t>D-</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55ED4BDB" w14:textId="77777777" w:rsidR="008F5396" w:rsidRDefault="00000000">
            <w:pPr>
              <w:ind w:left="-100"/>
            </w:pPr>
            <w:r>
              <w:t>60-62</w:t>
            </w:r>
          </w:p>
        </w:tc>
      </w:tr>
      <w:tr w:rsidR="008F5396" w14:paraId="6FF314AD" w14:textId="77777777">
        <w:trPr>
          <w:trHeight w:val="255"/>
        </w:trPr>
        <w:tc>
          <w:tcPr>
            <w:tcW w:w="160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FEF0F46" w14:textId="77777777" w:rsidR="008F5396" w:rsidRDefault="00000000">
            <w:pPr>
              <w:ind w:left="-100"/>
            </w:pPr>
            <w:r>
              <w:t>F</w:t>
            </w:r>
          </w:p>
        </w:tc>
        <w:tc>
          <w:tcPr>
            <w:tcW w:w="3240" w:type="dxa"/>
            <w:tcBorders>
              <w:top w:val="nil"/>
              <w:left w:val="nil"/>
              <w:bottom w:val="single" w:sz="6" w:space="0" w:color="BFBFBF"/>
              <w:right w:val="single" w:sz="6" w:space="0" w:color="BFBFBF"/>
            </w:tcBorders>
            <w:tcMar>
              <w:top w:w="0" w:type="dxa"/>
              <w:left w:w="100" w:type="dxa"/>
              <w:bottom w:w="0" w:type="dxa"/>
              <w:right w:w="100" w:type="dxa"/>
            </w:tcMar>
          </w:tcPr>
          <w:p w14:paraId="7129E996" w14:textId="77777777" w:rsidR="008F5396" w:rsidRDefault="00000000">
            <w:pPr>
              <w:ind w:left="-100"/>
            </w:pPr>
            <w:r>
              <w:t>59 and below</w:t>
            </w:r>
          </w:p>
        </w:tc>
      </w:tr>
    </w:tbl>
    <w:p w14:paraId="5B6D3458" w14:textId="77777777" w:rsidR="008F5396" w:rsidRDefault="00000000">
      <w:r>
        <w:t xml:space="preserve"> </w:t>
      </w:r>
    </w:p>
    <w:p w14:paraId="077E0BC8" w14:textId="77777777" w:rsidR="008F5396" w:rsidRDefault="00000000">
      <w:r>
        <w:t xml:space="preserve"> </w:t>
      </w:r>
    </w:p>
    <w:p w14:paraId="0996BC25" w14:textId="77777777" w:rsidR="008F5396" w:rsidRDefault="00000000" w:rsidP="00490B33">
      <w:pPr>
        <w:pStyle w:val="Heading3"/>
        <w:ind w:left="0"/>
      </w:pPr>
      <w:bookmarkStart w:id="25" w:name="_heading=h.l5mh1d6bw293" w:colFirst="0" w:colLast="0"/>
      <w:bookmarkEnd w:id="25"/>
      <w:r>
        <w:t>Grading Timeline</w:t>
      </w:r>
    </w:p>
    <w:p w14:paraId="76BC8BAA" w14:textId="77777777" w:rsidR="008F5396" w:rsidRDefault="00000000">
      <w:r>
        <w:t>Template guidance: Clearly communicate when students can expect grades and feedback on assignments, assessments, and other submitted work. Include typical turnaround times, note any exceptions (such as major projects or final exams), and explain how grades and feedback will be shared.</w:t>
      </w:r>
    </w:p>
    <w:p w14:paraId="3A46E9C0" w14:textId="77777777" w:rsidR="008F5396" w:rsidRDefault="00000000">
      <w:pPr>
        <w:pStyle w:val="Heading2"/>
      </w:pPr>
      <w:bookmarkStart w:id="26" w:name="_heading=h.vumtywyrxbs6" w:colFirst="0" w:colLast="0"/>
      <w:bookmarkEnd w:id="26"/>
      <w:r>
        <w:t>Course Policies</w:t>
      </w:r>
    </w:p>
    <w:p w14:paraId="4D82414B" w14:textId="77777777" w:rsidR="008F5396" w:rsidRDefault="00000000">
      <w:r>
        <w:t xml:space="preserve">Template guidance: Include course-specific policies that students should be aware of. These may address attendance, participation, assignments, assessments, late or missed work, classroom expectations, communication, use of technology, collaboration, professionalism, and other course expectations. Policies may be established at the instructor, program, school, or university level. </w:t>
      </w:r>
    </w:p>
    <w:p w14:paraId="190FAC38" w14:textId="77777777" w:rsidR="008F5396" w:rsidRDefault="00000000">
      <w:pPr>
        <w:pStyle w:val="Heading2"/>
        <w:spacing w:before="240" w:after="240"/>
      </w:pPr>
      <w:bookmarkStart w:id="27" w:name="_heading=h.na9bn76swzcr" w:colFirst="0" w:colLast="0"/>
      <w:bookmarkEnd w:id="27"/>
      <w:r>
        <w:t>Attendance</w:t>
      </w:r>
    </w:p>
    <w:p w14:paraId="094EAF3F" w14:textId="77777777" w:rsidR="008F5396" w:rsidRDefault="00000000">
      <w:pPr>
        <w:spacing w:before="240" w:after="240"/>
      </w:pPr>
      <w:r>
        <w:t xml:space="preserve">Template guidance: Clearly describe the course attendance expectations and any attendance-related policies that apply to the course. Explain how absences, tardiness, participation, and missed class activities will be handled, including any procedures for notifying the instructor of an absence. Attendance policies should be consistent with university and program requirements. In accordance with the </w:t>
      </w:r>
      <w:hyperlink r:id="rId17">
        <w:r>
          <w:rPr>
            <w:color w:val="1155CC"/>
            <w:u w:val="single"/>
          </w:rPr>
          <w:t>UCOC Handbook (page 43)</w:t>
        </w:r>
      </w:hyperlink>
      <w:r>
        <w:t>, no portion of the course grade may be awarded solely for class attendance; however, non-attendance may be used as a basis for lowering a student's grade, provided the policy is clearly stated in the syllabus. When applicable, faculty should explain how non-attendance may affect a student's ability to meet the essential requirements of the course (e.g., contributing to discussions, providing feedback to peers, participating in small-group work, or engaging in other learning activities that are integral to the course). Faculty should also explain how the course will accommodate university-approved absences, including those related to religious observances and student-athlete travel. If attendance is required because of accreditation, licensure, clinical, laboratory, performance, or other program-specific requirements, those expectations should be explained.</w:t>
      </w:r>
    </w:p>
    <w:p w14:paraId="2AA5C1A1" w14:textId="77777777" w:rsidR="008F5396" w:rsidRDefault="00000000">
      <w:pPr>
        <w:pStyle w:val="Heading2"/>
      </w:pPr>
      <w:bookmarkStart w:id="28" w:name="_heading=h.uu4zajcvp499" w:colFirst="0" w:colLast="0"/>
      <w:bookmarkEnd w:id="28"/>
      <w:r>
        <w:t>Learning Community Expectations</w:t>
      </w:r>
    </w:p>
    <w:p w14:paraId="34020ABE" w14:textId="77777777" w:rsidR="008F5396" w:rsidRDefault="00000000">
      <w:r>
        <w:t xml:space="preserve">Template guidance: Describe the classroom norms, community agreements, and expectations for student conduct and engagement in the course, whether in person, online, or in hybrid learning environments. These expectations can help establish a respectful, welcoming, and productive learning environment. Consider addressing communication practices, participation in discussions, use of technology, and expectations for synchronous online sessions. If the course includes Zoom or other virtual meetings, provide guidance on online etiquette ("netiquette"), including expectations for camera and microphone use, chat participation, and respectful online communication. Faculty are encouraged to communicate these expectations clearly and invite students to discuss any concerns or barriers to compliance. Refer to CET resources on </w:t>
      </w:r>
      <w:hyperlink r:id="rId18">
        <w:r>
          <w:rPr>
            <w:color w:val="1155CC"/>
            <w:u w:val="single"/>
          </w:rPr>
          <w:t>creating community agreements</w:t>
        </w:r>
      </w:hyperlink>
      <w:r>
        <w:t xml:space="preserve">. </w:t>
      </w:r>
    </w:p>
    <w:p w14:paraId="4D62D8EA" w14:textId="77777777" w:rsidR="008F5396" w:rsidRDefault="00000000">
      <w:pPr>
        <w:pStyle w:val="Heading2"/>
      </w:pPr>
      <w:bookmarkStart w:id="29" w:name="_heading=h.u06587pnuko8" w:colFirst="0" w:colLast="0"/>
      <w:bookmarkEnd w:id="29"/>
      <w:r>
        <w:t>Academic Integrity</w:t>
      </w:r>
    </w:p>
    <w:p w14:paraId="64286432" w14:textId="77777777" w:rsidR="008F5396" w:rsidRDefault="00000000">
      <w:pPr>
        <w:rPr>
          <w:i/>
          <w:iCs/>
        </w:rPr>
      </w:pPr>
      <w:r>
        <w:t xml:space="preserve">Template guidance: </w:t>
      </w:r>
      <w:r>
        <w:rPr>
          <w:i/>
          <w:iCs/>
        </w:rPr>
        <w:t>This language on Academic Integrity is required to be included on your syllabus.</w:t>
      </w:r>
    </w:p>
    <w:p w14:paraId="7C98AE2C" w14:textId="77777777" w:rsidR="008F5396" w:rsidRDefault="00000000">
      <w:r>
        <w:t xml:space="preserve">Required: The University of Southern California is foremost a learning community committed to fostering successful scholars and researchers dedicated to the pursuit of knowledge and the transmission of ideas. Academic misconduct is contrary to this fundamental mission and includes any act of dishonesty in the </w:t>
      </w:r>
      <w:r>
        <w:lastRenderedPageBreak/>
        <w:t>submission of academic work (either in draft or final form), as well as cheating, plagiarism, fabrication (e.g., falsifying data), knowingly assisting others in acts of academic dishonesty, and any act that gains or is intended to gain an unfair academic advantage. Students are expected to uphold the highest standards of academic integrity in all coursework. This course follows the expectations for academic integrity as stated in the</w:t>
      </w:r>
      <w:hyperlink r:id="rId19">
        <w:r>
          <w:t xml:space="preserve"> </w:t>
        </w:r>
      </w:hyperlink>
      <w:hyperlink r:id="rId20">
        <w:r>
          <w:rPr>
            <w:color w:val="0000FF"/>
            <w:u w:val="single"/>
          </w:rPr>
          <w:t>USC Student Handbook</w:t>
        </w:r>
      </w:hyperlink>
      <w:r>
        <w:t>. All students are expected to submit assignments that are original work and prepared specifically for the course/section in this academic term. Students may not submit work written by others or “recycle” work prepared for other courses without obtaining written permission from the instructor(s). Students suspected of academic misconduct will be reported to the Office of Academic Integrity.</w:t>
      </w:r>
    </w:p>
    <w:p w14:paraId="085ED04A" w14:textId="77777777" w:rsidR="008F5396" w:rsidRDefault="00000000">
      <w:r>
        <w:t xml:space="preserve"> </w:t>
      </w:r>
    </w:p>
    <w:p w14:paraId="38695590" w14:textId="77777777" w:rsidR="008F5396" w:rsidRDefault="00000000">
      <w:r>
        <w:t>Required: Academic dishonesty has a far-reaching impact and is considered a serious offense against the university. Violations will result in a grade penalty, such as a failing grade on the assignment or in the course, and disciplinary action from the university, such as suspension or expulsion. For more information about academic integrity see the</w:t>
      </w:r>
      <w:hyperlink r:id="rId21">
        <w:r>
          <w:t xml:space="preserve"> </w:t>
        </w:r>
      </w:hyperlink>
      <w:hyperlink r:id="rId22">
        <w:r>
          <w:rPr>
            <w:color w:val="1155CC"/>
            <w:u w:val="single"/>
          </w:rPr>
          <w:t>Student Handbook,</w:t>
        </w:r>
      </w:hyperlink>
      <w:r>
        <w:rPr>
          <w:color w:val="1155CC"/>
          <w:u w:val="single"/>
        </w:rPr>
        <w:t xml:space="preserve"> </w:t>
      </w:r>
      <w:r>
        <w:t>the</w:t>
      </w:r>
      <w:hyperlink r:id="rId23">
        <w:r>
          <w:t xml:space="preserve"> </w:t>
        </w:r>
      </w:hyperlink>
      <w:hyperlink r:id="rId24">
        <w:r>
          <w:rPr>
            <w:color w:val="0000FF"/>
            <w:u w:val="single"/>
          </w:rPr>
          <w:t>Office of Academic Integrity’s website</w:t>
        </w:r>
      </w:hyperlink>
      <w:r>
        <w:t>, and university policies on</w:t>
      </w:r>
      <w:hyperlink r:id="rId25">
        <w:r>
          <w:t xml:space="preserve"> </w:t>
        </w:r>
      </w:hyperlink>
      <w:hyperlink r:id="rId26">
        <w:r>
          <w:rPr>
            <w:color w:val="0000FF"/>
            <w:u w:val="single"/>
          </w:rPr>
          <w:t>Research and Scholarship Misconduct</w:t>
        </w:r>
      </w:hyperlink>
      <w:r>
        <w:t>. Please ask your instructor if you are unsure what constitutes unauthorized assistance on an exam or assignment or what information requires citation and/or attribution.</w:t>
      </w:r>
    </w:p>
    <w:p w14:paraId="3C04555F" w14:textId="77777777" w:rsidR="008F5396" w:rsidRDefault="00000000">
      <w:pPr>
        <w:spacing w:before="240" w:after="240"/>
      </w:pPr>
      <w:r>
        <w:t xml:space="preserve">Required: Instructors determine whether and how generative AI tools (such as ChatGPT, Copilot, Claude, Gemini, and similar applications) and other external resources (such as English-language translation tools) may be used in this course. Expectations may vary from assignment to assignment. This includes AI tools that record, transcribe, or summarize class sessions, which may require express instructor permission. Review the AI use guidance provided below </w:t>
      </w:r>
      <w:proofErr w:type="gramStart"/>
      <w:r>
        <w:t>carefully, and</w:t>
      </w:r>
      <w:proofErr w:type="gramEnd"/>
      <w:r>
        <w:t xml:space="preserve"> direct any questions to your instructor before submitting work.</w:t>
      </w:r>
    </w:p>
    <w:p w14:paraId="0D4BF21C" w14:textId="77777777" w:rsidR="008F5396" w:rsidRDefault="00000000">
      <w:pPr>
        <w:spacing w:before="240" w:after="240"/>
      </w:pPr>
      <w:r>
        <w:t>Required: Students seeking general guidance may consult the following resources:</w:t>
      </w:r>
    </w:p>
    <w:p w14:paraId="3593D26C" w14:textId="77777777" w:rsidR="008F5396" w:rsidRDefault="00000000">
      <w:pPr>
        <w:numPr>
          <w:ilvl w:val="0"/>
          <w:numId w:val="1"/>
        </w:numPr>
        <w:spacing w:before="240"/>
      </w:pPr>
      <w:hyperlink r:id="rId27">
        <w:r>
          <w:rPr>
            <w:color w:val="1155CC"/>
            <w:u w:val="single"/>
          </w:rPr>
          <w:t>USC Student Handbook</w:t>
        </w:r>
      </w:hyperlink>
    </w:p>
    <w:p w14:paraId="02FC4032" w14:textId="77777777" w:rsidR="008F5396" w:rsidRDefault="00000000">
      <w:pPr>
        <w:numPr>
          <w:ilvl w:val="0"/>
          <w:numId w:val="1"/>
        </w:numPr>
      </w:pPr>
      <w:hyperlink r:id="rId28">
        <w:r>
          <w:rPr>
            <w:color w:val="1155CC"/>
            <w:u w:val="single"/>
          </w:rPr>
          <w:t>Generative AI General Policy</w:t>
        </w:r>
      </w:hyperlink>
    </w:p>
    <w:p w14:paraId="2237722B" w14:textId="77777777" w:rsidR="008F5396" w:rsidRDefault="00000000">
      <w:pPr>
        <w:numPr>
          <w:ilvl w:val="0"/>
          <w:numId w:val="1"/>
        </w:numPr>
      </w:pPr>
      <w:hyperlink r:id="rId29" w:anchor="ai-resources">
        <w:r>
          <w:rPr>
            <w:color w:val="1155CC"/>
            <w:u w:val="single"/>
          </w:rPr>
          <w:t>Practical Tips for Using AI in Academic Work</w:t>
        </w:r>
      </w:hyperlink>
    </w:p>
    <w:p w14:paraId="44239159" w14:textId="77777777" w:rsidR="008F5396" w:rsidRDefault="00000000">
      <w:pPr>
        <w:numPr>
          <w:ilvl w:val="0"/>
          <w:numId w:val="1"/>
        </w:numPr>
        <w:spacing w:after="240"/>
      </w:pPr>
      <w:hyperlink r:id="rId30">
        <w:r>
          <w:rPr>
            <w:color w:val="1155CC"/>
            <w:u w:val="single"/>
          </w:rPr>
          <w:t>Office of Academic Integrity</w:t>
        </w:r>
      </w:hyperlink>
    </w:p>
    <w:p w14:paraId="238BD6E1" w14:textId="77777777" w:rsidR="008F5396" w:rsidRDefault="00000000" w:rsidP="00490B33">
      <w:pPr>
        <w:pStyle w:val="Heading3"/>
        <w:spacing w:before="240" w:after="240"/>
        <w:ind w:left="0"/>
      </w:pPr>
      <w:bookmarkStart w:id="30" w:name="_heading=h.386tkwxv4em9" w:colFirst="0" w:colLast="0"/>
      <w:bookmarkEnd w:id="30"/>
      <w:r>
        <w:t xml:space="preserve">Permitted Use of Artificial Intelligence (AI) Tools </w:t>
      </w:r>
    </w:p>
    <w:p w14:paraId="46BF3D85" w14:textId="77777777" w:rsidR="008F5396" w:rsidRDefault="00000000">
      <w:pPr>
        <w:spacing w:before="240" w:after="240"/>
      </w:pPr>
      <w:r>
        <w:t xml:space="preserve">Template guidance: Describe how artificial intelligence (AI) tools and generative AI technologies may or may not be used in the course, including any requirements for disclosure, attribution, documentation, or citation of AI-assisted work. Guidance may vary by assignment, assessment, or course activity. When developing an AI policy, consider any department, program, or school requirements; the appropriate uses of AI in relation to course learning objectives; student responsibility for evaluating the accuracy and reliability of AI-generated content; ethical considerations within the discipline; and whether AI may be used as a learning aid, content-generation tool, or both. If </w:t>
      </w:r>
      <w:hyperlink r:id="rId31">
        <w:r>
          <w:rPr>
            <w:color w:val="1155CC"/>
            <w:u w:val="single"/>
          </w:rPr>
          <w:t>AI detection tools</w:t>
        </w:r>
      </w:hyperlink>
      <w:r>
        <w:t xml:space="preserve"> are used, explain their purpose and limitations. Refer to </w:t>
      </w:r>
      <w:hyperlink r:id="rId32">
        <w:r>
          <w:rPr>
            <w:color w:val="1155CC"/>
            <w:u w:val="single"/>
          </w:rPr>
          <w:t>USC Libraries resources</w:t>
        </w:r>
      </w:hyperlink>
      <w:r>
        <w:t xml:space="preserve"> for guidance on citing generative AI tools. Faculty are encouraged to remind students to use AI tools responsibly by protecting personal, confidential, or sensitive information; considering intellectual property and copyright implications when uploading or generating content; and complying with applicable laws, </w:t>
      </w:r>
      <w:hyperlink r:id="rId33">
        <w:r>
          <w:rPr>
            <w:color w:val="1155CC"/>
            <w:u w:val="single"/>
          </w:rPr>
          <w:t>USC policies</w:t>
        </w:r>
      </w:hyperlink>
      <w:r>
        <w:t>, and the terms of service of any AI tools they choose to use, particularly those that are not licensed or provided through USC.  You may select one of the sample options below or use the examples to help draft your own course policy language.</w:t>
      </w:r>
    </w:p>
    <w:p w14:paraId="31A7F19B" w14:textId="77777777" w:rsidR="008F5396" w:rsidRDefault="00000000">
      <w:pPr>
        <w:pStyle w:val="Heading4"/>
        <w:jc w:val="left"/>
        <w:rPr>
          <w:b w:val="0"/>
          <w:bCs w:val="0"/>
          <w:i/>
          <w:iCs/>
        </w:rPr>
      </w:pPr>
      <w:bookmarkStart w:id="31" w:name="_heading=h.pv3si05chgls" w:colFirst="0" w:colLast="0"/>
      <w:bookmarkEnd w:id="31"/>
      <w:r>
        <w:rPr>
          <w:b w:val="0"/>
          <w:bCs w:val="0"/>
          <w:i/>
          <w:iCs/>
        </w:rPr>
        <w:t>Sample Option A–not permitted</w:t>
      </w:r>
    </w:p>
    <w:p w14:paraId="12EC9C6E" w14:textId="77777777" w:rsidR="008F5396" w:rsidRDefault="00000000">
      <w:r>
        <w:t xml:space="preserve">This course is designed to help students develop and demonstrate their own knowledge, skills, and abilities in relation to the course learning objectives. Unless explicitly authorized by the instructor, all assignments and assessments must be completed by the student or assigned group members without the use of generative artificial intelligence (AI) tools. The use of AI-generated text, code, images, analyses, or other content is not permitted in this course. Students are expected to submit work that reflects their own </w:t>
      </w:r>
      <w:r>
        <w:lastRenderedPageBreak/>
        <w:t>understanding and effort. AI tools used in a manner that is inconsistent with this policy may constitute unauthorized assistance under the USC Student Handbook and be referred to the Office of Academic Integrity. Students who are uncertain whether a particular use of AI is permitted should consult with the instructor before submitting their work.</w:t>
      </w:r>
    </w:p>
    <w:p w14:paraId="1A39E8A0" w14:textId="77777777" w:rsidR="008F5396" w:rsidRDefault="00000000">
      <w:r>
        <w:t xml:space="preserve"> </w:t>
      </w:r>
    </w:p>
    <w:p w14:paraId="3A9E1299" w14:textId="77777777" w:rsidR="008F5396" w:rsidRDefault="00000000">
      <w:pPr>
        <w:rPr>
          <w:i/>
          <w:iCs/>
        </w:rPr>
      </w:pPr>
      <w:r>
        <w:rPr>
          <w:i/>
          <w:iCs/>
        </w:rPr>
        <w:t>Sample Option B–permitted on specific assignments</w:t>
      </w:r>
    </w:p>
    <w:p w14:paraId="5D3C5491" w14:textId="77777777" w:rsidR="008F5396" w:rsidRDefault="00000000">
      <w:r>
        <w:t>In this course, the use of artificial intelligence (AI) tools is permitted only when explicitly authorized by the instructor or identified in the assignment instructions. Students should review assignment requirements carefully, as expectations regarding AI use may vary across course activities and assessments. When AI use is permitted, students remain responsible for the accuracy, quality, and integrity of all submitted work. AI-generated content may be inaccurate, incomplete, biased, or fabricated and should be reviewed and verified before use. Students should also exercise care when using AI tools by avoiding the submission of personal, confidential, proprietary, or otherwise sensitive information to AI tools unless specifically authorized. Students remain responsible for respecting copyright, licensing, and intellectual property rights when using AI-generated or AI-assisted content. Any use of AI-generated content must be appropriately acknowledged and documented in accordance with course requirements. Unless otherwise instructed, students should identify the AI tool used and describe how it contributed to the final submission. Additional documentation, such as prompts or outputs, may be required for specific assignments. AI tool use in a manner that is inconsistent with this policy may constitute unauthorized assistance under the USC Student Handbook and be referred to the Office of Academic Integrity. Students who are uncertain whether a particular use of AI is permitted should consult with the instructor before submitting their work.</w:t>
      </w:r>
    </w:p>
    <w:p w14:paraId="6E852879" w14:textId="77777777" w:rsidR="008F5396" w:rsidRDefault="008F5396">
      <w:pPr>
        <w:rPr>
          <w:i/>
          <w:iCs/>
        </w:rPr>
      </w:pPr>
    </w:p>
    <w:p w14:paraId="056E9615" w14:textId="77777777" w:rsidR="008F5396" w:rsidRDefault="00000000">
      <w:pPr>
        <w:rPr>
          <w:b/>
          <w:bCs/>
        </w:rPr>
      </w:pPr>
      <w:r>
        <w:rPr>
          <w:i/>
          <w:iCs/>
        </w:rPr>
        <w:t>Sample Option C–encouraged use</w:t>
      </w:r>
    </w:p>
    <w:p w14:paraId="7E805B4C" w14:textId="77777777" w:rsidR="008F5396" w:rsidRDefault="00000000">
      <w:r>
        <w:t>The ability to use artificial intelligence (AI) tools effectively and responsibly is an increasingly important professional skill. In this course, you are encouraged to use AI tools to support your learning and coursework.</w:t>
      </w:r>
    </w:p>
    <w:p w14:paraId="1D3B713E" w14:textId="77777777" w:rsidR="008F5396" w:rsidRDefault="008F5396"/>
    <w:p w14:paraId="0C7409F4" w14:textId="77777777" w:rsidR="008F5396" w:rsidRDefault="00000000">
      <w:r>
        <w:t>When using AI tools, keep the following in mind:</w:t>
      </w:r>
    </w:p>
    <w:p w14:paraId="5AAE927B" w14:textId="77777777" w:rsidR="008F5396" w:rsidRDefault="00000000">
      <w:pPr>
        <w:numPr>
          <w:ilvl w:val="0"/>
          <w:numId w:val="3"/>
        </w:numPr>
        <w:spacing w:before="240"/>
      </w:pPr>
      <w:r>
        <w:t>AI may be used to support activities such as brainstorming, exploring ideas, generating examples, revising drafts, summarizing information, coding assistance, or other learning-related tasks, as appropriate.</w:t>
      </w:r>
    </w:p>
    <w:p w14:paraId="76366567" w14:textId="77777777" w:rsidR="008F5396" w:rsidRDefault="00000000">
      <w:pPr>
        <w:numPr>
          <w:ilvl w:val="0"/>
          <w:numId w:val="3"/>
        </w:numPr>
      </w:pPr>
      <w:r>
        <w:t>You remain responsible for the accuracy, quality, and integrity of all work you submit. AI-generated content may be incomplete, inaccurate, biased, or fabricated and should be reviewed and verified before use.</w:t>
      </w:r>
    </w:p>
    <w:p w14:paraId="1FDD0FC4" w14:textId="77777777" w:rsidR="008F5396" w:rsidRDefault="00000000">
      <w:pPr>
        <w:numPr>
          <w:ilvl w:val="0"/>
          <w:numId w:val="3"/>
        </w:numPr>
      </w:pPr>
      <w:r>
        <w:t>AI should be used to support your learning, not replace the intellectual work required to meet the course learning objectives.</w:t>
      </w:r>
    </w:p>
    <w:p w14:paraId="7EB28287" w14:textId="77777777" w:rsidR="008F5396" w:rsidRDefault="00000000">
      <w:pPr>
        <w:numPr>
          <w:ilvl w:val="0"/>
          <w:numId w:val="3"/>
        </w:numPr>
      </w:pPr>
      <w:r>
        <w:t xml:space="preserve">Do not upload personal, confidential, proprietary, or otherwise sensitive information to AI tools unless specifically authorized. Be mindful that information </w:t>
      </w:r>
      <w:proofErr w:type="gramStart"/>
      <w:r>
        <w:t>entered into</w:t>
      </w:r>
      <w:proofErr w:type="gramEnd"/>
      <w:r>
        <w:t xml:space="preserve"> some AI systems may be retained or used in ways outside the university’s control.</w:t>
      </w:r>
    </w:p>
    <w:p w14:paraId="21467B51" w14:textId="77777777" w:rsidR="008F5396" w:rsidRDefault="00000000">
      <w:pPr>
        <w:numPr>
          <w:ilvl w:val="0"/>
          <w:numId w:val="3"/>
        </w:numPr>
      </w:pPr>
      <w:r>
        <w:t>Respect copyright, licensing, and intellectual property rights when using AI-generated or AI-assisted content. These materials may not be free of third-party rights or suitable for unrestricted reuse.</w:t>
      </w:r>
    </w:p>
    <w:p w14:paraId="27F59916" w14:textId="77777777" w:rsidR="008F5396" w:rsidRDefault="00000000">
      <w:pPr>
        <w:numPr>
          <w:ilvl w:val="0"/>
          <w:numId w:val="3"/>
        </w:numPr>
      </w:pPr>
      <w:r>
        <w:t>Any use of AI in course assignments must be disclosed and appropriately attributed. Unless otherwise instructed, include a brief statement describing how AI was used, the tools employed, and the extent to which AI-generated content contributed to the final submission.</w:t>
      </w:r>
    </w:p>
    <w:p w14:paraId="13FE9F7C" w14:textId="77777777" w:rsidR="008F5396" w:rsidRDefault="00000000">
      <w:pPr>
        <w:numPr>
          <w:ilvl w:val="0"/>
          <w:numId w:val="3"/>
        </w:numPr>
        <w:spacing w:after="240"/>
      </w:pPr>
      <w:r>
        <w:t>Additional instructions regarding AI use may be provided for individual assignments or assessments.</w:t>
      </w:r>
    </w:p>
    <w:p w14:paraId="2A391E42" w14:textId="77777777" w:rsidR="008F5396" w:rsidRDefault="00000000">
      <w:pPr>
        <w:spacing w:before="240" w:after="240"/>
      </w:pPr>
      <w:r>
        <w:t>If you have questions about whether a particular use of AI is appropriate, please consult with the instructor before submitting your work.</w:t>
      </w:r>
    </w:p>
    <w:p w14:paraId="6C4A8505" w14:textId="77777777" w:rsidR="008F5396" w:rsidRDefault="00000000" w:rsidP="00490B33">
      <w:pPr>
        <w:pStyle w:val="Heading3"/>
        <w:spacing w:before="240" w:after="240"/>
        <w:ind w:left="0"/>
      </w:pPr>
      <w:bookmarkStart w:id="32" w:name="_heading=h.qa4wgrwhsnpm" w:colFirst="0" w:colLast="0"/>
      <w:bookmarkEnd w:id="32"/>
      <w:r>
        <w:t xml:space="preserve">Additional Guidance for Faculty </w:t>
      </w:r>
    </w:p>
    <w:p w14:paraId="01DDEFC1" w14:textId="77777777" w:rsidR="008F5396" w:rsidRDefault="00000000">
      <w:pPr>
        <w:spacing w:before="240" w:after="240"/>
      </w:pPr>
      <w:r>
        <w:lastRenderedPageBreak/>
        <w:t>Template guidance: When adapting one of the sample options above, consider including course-specific examples that clarify permitted and prohibited uses of AI. For instance, whether AI may be used for brainstorming but not drafting or editing content, or for coding assistance but not problem solving. Clarify expectations regarding attribution and documentation so students understand what acknowledgement of AI use should look like in your course and what additional documentation, if any, is required when incorporating AI or other external tools into a submission.</w:t>
      </w:r>
    </w:p>
    <w:p w14:paraId="3A4377FC" w14:textId="77777777" w:rsidR="008F5396" w:rsidRDefault="00000000">
      <w:pPr>
        <w:spacing w:before="240" w:after="240"/>
      </w:pPr>
      <w:r>
        <w:t xml:space="preserve">Faculty may also wish to include discipline-specific guidance regarding privacy, confidentiality, data security, intellectual property, copyright, or professional obligations. For example, courses involving client information, patient data, unpublished research, proprietary software, creative works, or other protected materials may require additional restrictions on AI tool use.  </w:t>
      </w:r>
    </w:p>
    <w:p w14:paraId="495ED338" w14:textId="77777777" w:rsidR="008F5396" w:rsidRDefault="00000000">
      <w:pPr>
        <w:spacing w:before="240" w:after="240"/>
      </w:pPr>
      <w:r>
        <w:rPr>
          <w:i/>
          <w:iCs/>
        </w:rPr>
        <w:t xml:space="preserve">AI tool use that violates course policy may constitute unauthorized assistance under the USC Student Handbook and must be reported to the Office of Academic Integrity. Depending on the nature of the violation, consequences may include reduced or failing grades on an assignment and/or course, and university disciplinary action which may include suspension or expulsion from the university. </w:t>
      </w:r>
    </w:p>
    <w:p w14:paraId="55D9DF90" w14:textId="77777777" w:rsidR="008F5396" w:rsidRDefault="00000000">
      <w:pPr>
        <w:spacing w:before="240" w:after="240"/>
      </w:pPr>
      <w:r>
        <w:t>Faculty are encouraged to invite students to seek clarification whenever they are uncertain whether a particular use of AI is permitted.</w:t>
      </w:r>
    </w:p>
    <w:p w14:paraId="22627773" w14:textId="77777777" w:rsidR="008F5396" w:rsidRDefault="00000000">
      <w:pPr>
        <w:pStyle w:val="Heading2"/>
      </w:pPr>
      <w:bookmarkStart w:id="33" w:name="_heading=h.14m6zuz810f5" w:colFirst="0" w:colLast="0"/>
      <w:bookmarkEnd w:id="33"/>
      <w:r>
        <w:t>Student Handbook Policies</w:t>
      </w:r>
    </w:p>
    <w:p w14:paraId="368D2BFA" w14:textId="77777777" w:rsidR="008F5396" w:rsidRDefault="00000000">
      <w:r>
        <w:t xml:space="preserve">Template guidance: Faculty should direct students to the current </w:t>
      </w:r>
      <w:hyperlink r:id="rId34">
        <w:r>
          <w:rPr>
            <w:color w:val="1155CC"/>
            <w:u w:val="single"/>
          </w:rPr>
          <w:t>USC Student Handbook</w:t>
        </w:r>
      </w:hyperlink>
      <w:r>
        <w:t xml:space="preserve"> and highlight handbook policies that are particularly relevant to the course. Examples may include policies related to classroom conduct, academic integrity, recordings of class sessions, distribution of course materials, intellectual property, student behavior, and other university expectations.</w:t>
      </w:r>
    </w:p>
    <w:p w14:paraId="60DCEE4F" w14:textId="77777777" w:rsidR="008F5396" w:rsidRDefault="00000000">
      <w:pPr>
        <w:pStyle w:val="Heading2"/>
      </w:pPr>
      <w:bookmarkStart w:id="34" w:name="_heading=h.y0c8yklswjre" w:colFirst="0" w:colLast="0"/>
      <w:bookmarkEnd w:id="34"/>
      <w:r>
        <w:t>Learning Experience Evaluations</w:t>
      </w:r>
    </w:p>
    <w:p w14:paraId="16AF3A66" w14:textId="77777777" w:rsidR="008F5396" w:rsidRDefault="00000000">
      <w:r>
        <w:t xml:space="preserve">Template guidance: Explain the purpose of </w:t>
      </w:r>
      <w:hyperlink r:id="rId35">
        <w:r>
          <w:rPr>
            <w:color w:val="1155CC"/>
            <w:u w:val="single"/>
          </w:rPr>
          <w:t>course evaluations</w:t>
        </w:r>
      </w:hyperlink>
      <w:r>
        <w:t xml:space="preserve"> and encourage students to participate in the university's end-of-semester evaluation process. Faculty may also wish to solicit feedback during the semester to identify opportunities for improvement and </w:t>
      </w:r>
      <w:proofErr w:type="gramStart"/>
      <w:r>
        <w:t>make adjustments</w:t>
      </w:r>
      <w:proofErr w:type="gramEnd"/>
      <w:r>
        <w:t xml:space="preserve"> while the course is in progress. Mid-semester feedback is considered a recommended practice for supporting student learning and enhancing the course experience. Contact CET for resources and support in </w:t>
      </w:r>
      <w:hyperlink r:id="rId36">
        <w:r>
          <w:rPr>
            <w:color w:val="1155CC"/>
            <w:u w:val="single"/>
          </w:rPr>
          <w:t xml:space="preserve">developing mid-semester </w:t>
        </w:r>
      </w:hyperlink>
      <w:r>
        <w:t>feedback activities or evaluations.</w:t>
      </w:r>
    </w:p>
    <w:p w14:paraId="5B600B88" w14:textId="77777777" w:rsidR="008F5396" w:rsidRDefault="00000000">
      <w:pPr>
        <w:pStyle w:val="Heading2"/>
      </w:pPr>
      <w:bookmarkStart w:id="35" w:name="_heading=h.cestw8ukksxx" w:colFirst="0" w:colLast="0"/>
      <w:bookmarkEnd w:id="35"/>
      <w:r>
        <w:t>Course Schedule</w:t>
      </w:r>
    </w:p>
    <w:p w14:paraId="0EA74E41" w14:textId="77777777" w:rsidR="008F5396" w:rsidRDefault="00000000">
      <w:r>
        <w:t>Template guidance: Include a course schedule that outlines the sequence of topics, learning activities, assignments, assessments, and other key course milestones. The format may vary by course and discipline, but the schedule should clearly communicate:</w:t>
      </w:r>
    </w:p>
    <w:p w14:paraId="4371D207" w14:textId="77777777" w:rsidR="008F5396" w:rsidRDefault="00000000">
      <w:pPr>
        <w:numPr>
          <w:ilvl w:val="0"/>
          <w:numId w:val="2"/>
        </w:numPr>
        <w:spacing w:before="240"/>
      </w:pPr>
      <w:r>
        <w:t>Topics, themes, or learning activities for each class meeting, week, or module.</w:t>
      </w:r>
    </w:p>
    <w:p w14:paraId="00933C26" w14:textId="77777777" w:rsidR="008F5396" w:rsidRDefault="00000000">
      <w:pPr>
        <w:numPr>
          <w:ilvl w:val="0"/>
          <w:numId w:val="2"/>
        </w:numPr>
      </w:pPr>
      <w:r>
        <w:t>Required readings, preparatory work, or other learning activities.</w:t>
      </w:r>
    </w:p>
    <w:p w14:paraId="2B773CF9" w14:textId="77777777" w:rsidR="008F5396" w:rsidRDefault="00000000">
      <w:pPr>
        <w:numPr>
          <w:ilvl w:val="0"/>
          <w:numId w:val="2"/>
        </w:numPr>
      </w:pPr>
      <w:r>
        <w:t>Assignment, assessment, and project due dates.</w:t>
      </w:r>
    </w:p>
    <w:p w14:paraId="186AD4A8" w14:textId="77777777" w:rsidR="008F5396" w:rsidRDefault="00000000">
      <w:pPr>
        <w:numPr>
          <w:ilvl w:val="0"/>
          <w:numId w:val="2"/>
        </w:numPr>
        <w:spacing w:after="240"/>
      </w:pPr>
      <w:r>
        <w:t xml:space="preserve">Examination dates, including </w:t>
      </w:r>
      <w:hyperlink r:id="rId37">
        <w:r>
          <w:rPr>
            <w:color w:val="1155CC"/>
            <w:u w:val="single"/>
          </w:rPr>
          <w:t>the final exam</w:t>
        </w:r>
      </w:hyperlink>
      <w:r>
        <w:t>.</w:t>
      </w:r>
    </w:p>
    <w:p w14:paraId="556CF8D9" w14:textId="77777777" w:rsidR="008F5396" w:rsidRDefault="00000000">
      <w:pPr>
        <w:spacing w:before="240" w:after="240"/>
        <w:rPr>
          <w:b/>
          <w:bCs/>
        </w:rPr>
      </w:pPr>
      <w:r>
        <w:t>Faculty should communicate that the course schedule is subject to change and how any schedule revisions will be shared with students.</w:t>
      </w:r>
      <w:r>
        <w:rPr>
          <w:b/>
          <w:bCs/>
        </w:rPr>
        <w:t xml:space="preserve"> </w:t>
      </w:r>
    </w:p>
    <w:p w14:paraId="50938DC9" w14:textId="77777777" w:rsidR="008F5396" w:rsidRDefault="00000000" w:rsidP="00490B33">
      <w:pPr>
        <w:pStyle w:val="Heading3"/>
        <w:ind w:left="0"/>
      </w:pPr>
      <w:bookmarkStart w:id="36" w:name="_heading=h.at70soxni19p" w:colFirst="0" w:colLast="0"/>
      <w:bookmarkEnd w:id="36"/>
      <w:r>
        <w:t>Table 3 Course schedule example</w:t>
      </w:r>
    </w:p>
    <w:p w14:paraId="47B33E4C" w14:textId="77777777" w:rsidR="008F5396" w:rsidRDefault="008F5396"/>
    <w:p w14:paraId="4269C120" w14:textId="77777777" w:rsidR="008F5396" w:rsidRDefault="008F5396"/>
    <w:sdt>
      <w:sdtPr>
        <w:tag w:val="goog_rdk_1"/>
        <w:id w:val="621047248"/>
        <w:lock w:val="contentLocked"/>
      </w:sdtPr>
      <w:sdtContent>
        <w:tbl>
          <w:tblPr>
            <w:tblStyle w:val="a1"/>
            <w:tblW w:w="87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6"/>
            <w:gridCol w:w="2196"/>
            <w:gridCol w:w="2196"/>
            <w:gridCol w:w="2196"/>
          </w:tblGrid>
          <w:tr w:rsidR="008F5396" w14:paraId="4B96405F" w14:textId="77777777">
            <w:trPr>
              <w:tblHeader/>
            </w:trPr>
            <w:tc>
              <w:tcPr>
                <w:tcW w:w="2196" w:type="dxa"/>
                <w:tcMar>
                  <w:top w:w="100" w:type="dxa"/>
                  <w:left w:w="100" w:type="dxa"/>
                  <w:bottom w:w="100" w:type="dxa"/>
                  <w:right w:w="100" w:type="dxa"/>
                </w:tcMar>
              </w:tcPr>
              <w:p w14:paraId="6E22C875" w14:textId="77777777" w:rsidR="008F5396" w:rsidRDefault="00000000">
                <w:pPr>
                  <w:widowControl w:val="0"/>
                  <w:pBdr>
                    <w:top w:val="nil"/>
                    <w:left w:val="nil"/>
                    <w:bottom w:val="nil"/>
                    <w:right w:val="nil"/>
                    <w:between w:val="nil"/>
                  </w:pBdr>
                  <w:rPr>
                    <w:b/>
                    <w:bCs/>
                  </w:rPr>
                </w:pPr>
                <w:r>
                  <w:rPr>
                    <w:b/>
                    <w:bCs/>
                  </w:rPr>
                  <w:t>Class Date</w:t>
                </w:r>
              </w:p>
            </w:tc>
            <w:tc>
              <w:tcPr>
                <w:tcW w:w="2196" w:type="dxa"/>
                <w:tcMar>
                  <w:top w:w="100" w:type="dxa"/>
                  <w:left w:w="100" w:type="dxa"/>
                  <w:bottom w:w="100" w:type="dxa"/>
                  <w:right w:w="100" w:type="dxa"/>
                </w:tcMar>
              </w:tcPr>
              <w:p w14:paraId="4771168E" w14:textId="77777777" w:rsidR="008F5396" w:rsidRDefault="00000000">
                <w:pPr>
                  <w:widowControl w:val="0"/>
                  <w:pBdr>
                    <w:top w:val="nil"/>
                    <w:left w:val="nil"/>
                    <w:bottom w:val="nil"/>
                    <w:right w:val="nil"/>
                    <w:between w:val="nil"/>
                  </w:pBdr>
                  <w:rPr>
                    <w:b/>
                    <w:bCs/>
                  </w:rPr>
                </w:pPr>
                <w:r>
                  <w:rPr>
                    <w:b/>
                    <w:bCs/>
                  </w:rPr>
                  <w:t xml:space="preserve">Topics </w:t>
                </w:r>
              </w:p>
            </w:tc>
            <w:tc>
              <w:tcPr>
                <w:tcW w:w="2196" w:type="dxa"/>
                <w:tcMar>
                  <w:top w:w="100" w:type="dxa"/>
                  <w:left w:w="100" w:type="dxa"/>
                  <w:bottom w:w="100" w:type="dxa"/>
                  <w:right w:w="100" w:type="dxa"/>
                </w:tcMar>
              </w:tcPr>
              <w:p w14:paraId="587B2E8F" w14:textId="77777777" w:rsidR="008F5396" w:rsidRDefault="00000000">
                <w:pPr>
                  <w:widowControl w:val="0"/>
                  <w:pBdr>
                    <w:top w:val="nil"/>
                    <w:left w:val="nil"/>
                    <w:bottom w:val="nil"/>
                    <w:right w:val="nil"/>
                    <w:between w:val="nil"/>
                  </w:pBdr>
                  <w:rPr>
                    <w:b/>
                    <w:bCs/>
                  </w:rPr>
                </w:pPr>
                <w:r>
                  <w:rPr>
                    <w:b/>
                    <w:bCs/>
                  </w:rPr>
                  <w:t>Readings and Preparation</w:t>
                </w:r>
              </w:p>
            </w:tc>
            <w:tc>
              <w:tcPr>
                <w:tcW w:w="2196" w:type="dxa"/>
                <w:tcMar>
                  <w:top w:w="100" w:type="dxa"/>
                  <w:left w:w="100" w:type="dxa"/>
                  <w:bottom w:w="100" w:type="dxa"/>
                  <w:right w:w="100" w:type="dxa"/>
                </w:tcMar>
              </w:tcPr>
              <w:p w14:paraId="08B61026" w14:textId="77777777" w:rsidR="008F5396" w:rsidRDefault="00000000">
                <w:pPr>
                  <w:widowControl w:val="0"/>
                  <w:pBdr>
                    <w:top w:val="nil"/>
                    <w:left w:val="nil"/>
                    <w:bottom w:val="nil"/>
                    <w:right w:val="nil"/>
                    <w:between w:val="nil"/>
                  </w:pBdr>
                  <w:rPr>
                    <w:b/>
                    <w:bCs/>
                  </w:rPr>
                </w:pPr>
                <w:r>
                  <w:rPr>
                    <w:b/>
                    <w:bCs/>
                  </w:rPr>
                  <w:t>Assignments and Due Dates</w:t>
                </w:r>
              </w:p>
            </w:tc>
          </w:tr>
          <w:tr w:rsidR="008F5396" w14:paraId="009AD6D1" w14:textId="77777777">
            <w:tc>
              <w:tcPr>
                <w:tcW w:w="2196" w:type="dxa"/>
                <w:tcMar>
                  <w:top w:w="100" w:type="dxa"/>
                  <w:left w:w="100" w:type="dxa"/>
                  <w:bottom w:w="100" w:type="dxa"/>
                  <w:right w:w="100" w:type="dxa"/>
                </w:tcMar>
              </w:tcPr>
              <w:p w14:paraId="5E3049B0" w14:textId="77777777" w:rsidR="008F5396" w:rsidRDefault="008F5396">
                <w:pPr>
                  <w:widowControl w:val="0"/>
                  <w:pBdr>
                    <w:top w:val="nil"/>
                    <w:left w:val="nil"/>
                    <w:bottom w:val="nil"/>
                    <w:right w:val="nil"/>
                    <w:between w:val="nil"/>
                  </w:pBdr>
                </w:pPr>
              </w:p>
            </w:tc>
            <w:tc>
              <w:tcPr>
                <w:tcW w:w="2196" w:type="dxa"/>
                <w:tcMar>
                  <w:top w:w="100" w:type="dxa"/>
                  <w:left w:w="100" w:type="dxa"/>
                  <w:bottom w:w="100" w:type="dxa"/>
                  <w:right w:w="100" w:type="dxa"/>
                </w:tcMar>
              </w:tcPr>
              <w:p w14:paraId="7D87C238" w14:textId="77777777" w:rsidR="008F5396" w:rsidRDefault="008F5396">
                <w:pPr>
                  <w:widowControl w:val="0"/>
                  <w:pBdr>
                    <w:top w:val="nil"/>
                    <w:left w:val="nil"/>
                    <w:bottom w:val="nil"/>
                    <w:right w:val="nil"/>
                    <w:between w:val="nil"/>
                  </w:pBdr>
                </w:pPr>
              </w:p>
            </w:tc>
            <w:tc>
              <w:tcPr>
                <w:tcW w:w="2196" w:type="dxa"/>
                <w:tcMar>
                  <w:top w:w="100" w:type="dxa"/>
                  <w:left w:w="100" w:type="dxa"/>
                  <w:bottom w:w="100" w:type="dxa"/>
                  <w:right w:w="100" w:type="dxa"/>
                </w:tcMar>
              </w:tcPr>
              <w:p w14:paraId="5C32E404" w14:textId="77777777" w:rsidR="008F5396" w:rsidRDefault="008F5396">
                <w:pPr>
                  <w:widowControl w:val="0"/>
                  <w:pBdr>
                    <w:top w:val="nil"/>
                    <w:left w:val="nil"/>
                    <w:bottom w:val="nil"/>
                    <w:right w:val="nil"/>
                    <w:between w:val="nil"/>
                  </w:pBdr>
                </w:pPr>
              </w:p>
            </w:tc>
            <w:tc>
              <w:tcPr>
                <w:tcW w:w="2196" w:type="dxa"/>
                <w:tcMar>
                  <w:top w:w="100" w:type="dxa"/>
                  <w:left w:w="100" w:type="dxa"/>
                  <w:bottom w:w="100" w:type="dxa"/>
                  <w:right w:w="100" w:type="dxa"/>
                </w:tcMar>
              </w:tcPr>
              <w:p w14:paraId="27624918" w14:textId="77777777" w:rsidR="008F5396" w:rsidRDefault="00000000">
                <w:pPr>
                  <w:widowControl w:val="0"/>
                  <w:pBdr>
                    <w:top w:val="nil"/>
                    <w:left w:val="nil"/>
                    <w:bottom w:val="nil"/>
                    <w:right w:val="nil"/>
                    <w:between w:val="nil"/>
                  </w:pBdr>
                </w:pPr>
              </w:p>
            </w:tc>
          </w:tr>
        </w:tbl>
      </w:sdtContent>
    </w:sdt>
    <w:p w14:paraId="4F2FD323" w14:textId="77777777" w:rsidR="008F5396" w:rsidRDefault="00000000">
      <w:r>
        <w:t xml:space="preserve"> </w:t>
      </w:r>
    </w:p>
    <w:p w14:paraId="78C3BCEE" w14:textId="77777777" w:rsidR="008F5396" w:rsidRDefault="008F5396">
      <w:pPr>
        <w:spacing w:line="276" w:lineRule="auto"/>
      </w:pPr>
    </w:p>
    <w:p w14:paraId="0833EC40" w14:textId="77777777" w:rsidR="008F5396" w:rsidRDefault="00000000">
      <w:pPr>
        <w:spacing w:after="200" w:line="276" w:lineRule="auto"/>
        <w:rPr>
          <w:b/>
          <w:bCs/>
        </w:rPr>
      </w:pPr>
      <w:r>
        <w:rPr>
          <w:b/>
          <w:bCs/>
        </w:rPr>
        <w:t xml:space="preserve"> </w:t>
      </w:r>
    </w:p>
    <w:p w14:paraId="4AFB1B68" w14:textId="77777777" w:rsidR="008F5396" w:rsidRDefault="00000000">
      <w:pPr>
        <w:pStyle w:val="Heading2"/>
      </w:pPr>
      <w:bookmarkStart w:id="37" w:name="_heading=h.1aasb8f146st" w:colFirst="0" w:colLast="0"/>
      <w:bookmarkEnd w:id="37"/>
      <w:r>
        <w:br w:type="page"/>
      </w:r>
    </w:p>
    <w:p w14:paraId="1E573B8D" w14:textId="77777777" w:rsidR="008F5396" w:rsidRDefault="00000000">
      <w:pPr>
        <w:pStyle w:val="Heading2"/>
      </w:pPr>
      <w:bookmarkStart w:id="38" w:name="_heading=h.proxyn5to3gc" w:colFirst="0" w:colLast="0"/>
      <w:bookmarkEnd w:id="38"/>
      <w:r>
        <w:lastRenderedPageBreak/>
        <w:t>Statement on University Academic and Support Systems</w:t>
      </w:r>
    </w:p>
    <w:p w14:paraId="139450BD" w14:textId="77777777" w:rsidR="008F5396" w:rsidRDefault="00000000">
      <w:r>
        <w:t xml:space="preserve"> </w:t>
      </w:r>
    </w:p>
    <w:p w14:paraId="3BEA2532" w14:textId="77777777" w:rsidR="008F5396" w:rsidRDefault="00000000">
      <w:pPr>
        <w:rPr>
          <w:b/>
          <w:bCs/>
          <w:sz w:val="21"/>
          <w:szCs w:val="21"/>
        </w:rPr>
      </w:pPr>
      <w:r>
        <w:rPr>
          <w:b/>
          <w:bCs/>
          <w:sz w:val="21"/>
          <w:szCs w:val="21"/>
        </w:rPr>
        <w:t>Students and Disability Accommodations</w:t>
      </w:r>
    </w:p>
    <w:p w14:paraId="20A1D465" w14:textId="77777777" w:rsidR="008F5396" w:rsidRDefault="00000000">
      <w:r>
        <w:t xml:space="preserve">USC welcomes students with disabilities into </w:t>
      </w:r>
      <w:proofErr w:type="gramStart"/>
      <w:r>
        <w:t>all of</w:t>
      </w:r>
      <w:proofErr w:type="gramEnd"/>
      <w:r>
        <w:t xml:space="preserve"> the University’s educational programs.</w:t>
      </w:r>
      <w:hyperlink r:id="rId38">
        <w:r>
          <w:t xml:space="preserve"> </w:t>
        </w:r>
      </w:hyperlink>
      <w:hyperlink r:id="rId39">
        <w:r>
          <w:rPr>
            <w:color w:val="0000FF"/>
            <w:u w:val="single"/>
          </w:rPr>
          <w:t>The Office of Student Accessibility Services</w:t>
        </w:r>
      </w:hyperlink>
      <w:r>
        <w:t xml:space="preserve"> (OSAS) is responsible for the determination of appropriate accommodations for students who encounter disability-related barriers. Once a student has completed the OSAS process (registration, initial appointment, and submitted documentation) and accommodations are determined to be reasonable and appropriate, a Letter of Accommodation (LOA) will be available to generate for each course. The LOA must be given to each course instructor by the student and followed up with a discussion. This should be done as early in the semester as possible as accommodations are not retroactive. More information can be found at</w:t>
      </w:r>
      <w:hyperlink r:id="rId40">
        <w:r>
          <w:t xml:space="preserve"> </w:t>
        </w:r>
      </w:hyperlink>
      <w:hyperlink r:id="rId41">
        <w:r>
          <w:rPr>
            <w:color w:val="0000FF"/>
            <w:u w:val="single"/>
          </w:rPr>
          <w:t>osas.usc.edu</w:t>
        </w:r>
      </w:hyperlink>
      <w:r>
        <w:t xml:space="preserve">. You may contact OSAS at (213) 740-0776 or via email at </w:t>
      </w:r>
      <w:r>
        <w:rPr>
          <w:color w:val="0000FF"/>
        </w:rPr>
        <w:t>osasfrontdesk@usc.edu</w:t>
      </w:r>
      <w:r>
        <w:t>.</w:t>
      </w:r>
    </w:p>
    <w:p w14:paraId="7B5DE960" w14:textId="77777777" w:rsidR="008F5396" w:rsidRDefault="00000000">
      <w:r>
        <w:t xml:space="preserve"> </w:t>
      </w:r>
    </w:p>
    <w:p w14:paraId="5CCEFB0A" w14:textId="77777777" w:rsidR="008F5396" w:rsidRDefault="00000000">
      <w:pPr>
        <w:shd w:val="clear" w:color="auto" w:fill="FFFFFF"/>
        <w:rPr>
          <w:b/>
          <w:bCs/>
        </w:rPr>
      </w:pPr>
      <w:r>
        <w:rPr>
          <w:b/>
          <w:bCs/>
        </w:rPr>
        <w:t>Student Financial Aid and Satisfactory Academic Progress</w:t>
      </w:r>
    </w:p>
    <w:p w14:paraId="0B818F85" w14:textId="77777777" w:rsidR="008F5396" w:rsidRDefault="00000000">
      <w:pPr>
        <w:shd w:val="clear" w:color="auto" w:fill="FFFFFF"/>
        <w:rPr>
          <w:color w:val="242424"/>
        </w:rPr>
      </w:pPr>
      <w:r>
        <w:rPr>
          <w:color w:val="242424"/>
        </w:rPr>
        <w:t>To be eligible for certain kinds of financial aid, students are required to maintain Satisfactory Academic Progress (SAP) toward their degree objectives. Visit the</w:t>
      </w:r>
      <w:hyperlink r:id="rId42">
        <w:r>
          <w:rPr>
            <w:color w:val="242424"/>
          </w:rPr>
          <w:t xml:space="preserve"> </w:t>
        </w:r>
      </w:hyperlink>
      <w:hyperlink r:id="rId43">
        <w:r>
          <w:rPr>
            <w:color w:val="1155CC"/>
            <w:u w:val="single"/>
          </w:rPr>
          <w:t>Financial Aid Office webpage</w:t>
        </w:r>
      </w:hyperlink>
      <w:r>
        <w:rPr>
          <w:color w:val="242424"/>
        </w:rPr>
        <w:t xml:space="preserve"> for undergraduate- and graduate-level SAP eligibility requirements and the appeals process.</w:t>
      </w:r>
    </w:p>
    <w:p w14:paraId="046B8F7A" w14:textId="77777777" w:rsidR="008F5396" w:rsidRDefault="00000000">
      <w:pPr>
        <w:rPr>
          <w:color w:val="0070C0"/>
        </w:rPr>
      </w:pPr>
      <w:r>
        <w:rPr>
          <w:color w:val="0070C0"/>
        </w:rPr>
        <w:t xml:space="preserve"> </w:t>
      </w:r>
    </w:p>
    <w:p w14:paraId="2D6BEA9A" w14:textId="77777777" w:rsidR="008F5396" w:rsidRDefault="00000000">
      <w:pPr>
        <w:rPr>
          <w:b/>
          <w:bCs/>
          <w:sz w:val="21"/>
          <w:szCs w:val="21"/>
        </w:rPr>
      </w:pPr>
      <w:r>
        <w:rPr>
          <w:b/>
          <w:bCs/>
          <w:sz w:val="21"/>
          <w:szCs w:val="21"/>
        </w:rPr>
        <w:t>Support Systems</w:t>
      </w:r>
    </w:p>
    <w:p w14:paraId="2013E107" w14:textId="77777777" w:rsidR="008F5396" w:rsidRDefault="00000000">
      <w:pPr>
        <w:rPr>
          <w:i/>
          <w:iCs/>
        </w:rPr>
      </w:pPr>
      <w:hyperlink r:id="rId44">
        <w:r>
          <w:rPr>
            <w:i/>
            <w:iCs/>
            <w:color w:val="1155CC"/>
            <w:u w:val="single"/>
          </w:rPr>
          <w:t>Counseling and Mental Health</w:t>
        </w:r>
      </w:hyperlink>
      <w:r>
        <w:rPr>
          <w:i/>
          <w:iCs/>
        </w:rPr>
        <w:t xml:space="preserve"> - (213) 740-9355 – 24/7 on call</w:t>
      </w:r>
    </w:p>
    <w:p w14:paraId="35AC7D2B" w14:textId="77777777" w:rsidR="008F5396" w:rsidRDefault="00000000">
      <w:r>
        <w:t>Free and confidential mental health treatment for students, including short-term psychotherapy, group counseling, stress fitness workshops, and crisis intervention.</w:t>
      </w:r>
    </w:p>
    <w:p w14:paraId="354ABA3B" w14:textId="77777777" w:rsidR="008F5396" w:rsidRDefault="008F5396"/>
    <w:p w14:paraId="0ED73A96" w14:textId="77777777" w:rsidR="008F5396" w:rsidRDefault="00000000">
      <w:pPr>
        <w:rPr>
          <w:i/>
          <w:iCs/>
        </w:rPr>
      </w:pPr>
      <w:hyperlink r:id="rId45">
        <w:r>
          <w:rPr>
            <w:i/>
            <w:iCs/>
            <w:color w:val="0000FF"/>
            <w:u w:val="single"/>
          </w:rPr>
          <w:t>988 Suicide and Crisis Lifeline</w:t>
        </w:r>
      </w:hyperlink>
      <w:r>
        <w:rPr>
          <w:i/>
          <w:iCs/>
        </w:rPr>
        <w:t xml:space="preserve"> - 988 for both calls and text messages – 24/7 on call</w:t>
      </w:r>
    </w:p>
    <w:p w14:paraId="71EF351A" w14:textId="77777777" w:rsidR="008F5396" w:rsidRDefault="00000000">
      <w:r>
        <w:t>The 988 Suicide and Crisis Lifeline (formerly known as the National Suicide Prevention Lifeline) provides free and confidential emotional support to people in suicidal crisis or emotional distress 24 hours a day, 7 days a week, across the United States. The Lifeline consists of a national network of over 200 local crisis centers, combining custom local care and resources with national standards and best practices. The new, shorter phone number makes it easier for people to remember and access mental health crisis services (though the previous 1 (800) 273-8255 number will continue to function indefinitely) and represents a continued commitment to those in crisis.</w:t>
      </w:r>
    </w:p>
    <w:p w14:paraId="00D51186" w14:textId="77777777" w:rsidR="008F5396" w:rsidRDefault="008F5396"/>
    <w:p w14:paraId="090DE486" w14:textId="77777777" w:rsidR="008F5396" w:rsidRDefault="00000000">
      <w:pPr>
        <w:rPr>
          <w:i/>
          <w:iCs/>
        </w:rPr>
      </w:pPr>
      <w:hyperlink r:id="rId46">
        <w:r>
          <w:rPr>
            <w:i/>
            <w:iCs/>
            <w:color w:val="1155CC"/>
            <w:u w:val="single"/>
          </w:rPr>
          <w:t>CARE-SC: Confidential Advocacy, Resources, and Education Support Center</w:t>
        </w:r>
      </w:hyperlink>
      <w:r>
        <w:rPr>
          <w:i/>
          <w:iCs/>
        </w:rPr>
        <w:t xml:space="preserve"> - (213) 740-9355(WELL) – 24/7/365 on call.</w:t>
      </w:r>
    </w:p>
    <w:p w14:paraId="7504ADE9" w14:textId="77777777" w:rsidR="008F5396" w:rsidRDefault="00000000">
      <w:r>
        <w:t xml:space="preserve">Confidential advocates, prevention educators, and professional counseling teams work to promote a universal culture of </w:t>
      </w:r>
      <w:proofErr w:type="gramStart"/>
      <w:r>
        <w:t>consent, and</w:t>
      </w:r>
      <w:proofErr w:type="gramEnd"/>
      <w:r>
        <w:t xml:space="preserve"> prevent and respond to gender- and power-based harm. Services available to all USC students at no cost.</w:t>
      </w:r>
    </w:p>
    <w:p w14:paraId="4F90C90E" w14:textId="77777777" w:rsidR="008F5396" w:rsidRDefault="00000000">
      <w:r>
        <w:t xml:space="preserve"> </w:t>
      </w:r>
    </w:p>
    <w:p w14:paraId="007DF47C" w14:textId="77777777" w:rsidR="008F5396" w:rsidRDefault="00000000">
      <w:pPr>
        <w:rPr>
          <w:i/>
          <w:iCs/>
        </w:rPr>
      </w:pPr>
      <w:hyperlink r:id="rId47">
        <w:r>
          <w:rPr>
            <w:i/>
            <w:iCs/>
            <w:color w:val="1155CC"/>
            <w:u w:val="single"/>
          </w:rPr>
          <w:t>Office of Civil Rights Compliance</w:t>
        </w:r>
      </w:hyperlink>
      <w:r>
        <w:rPr>
          <w:i/>
          <w:iCs/>
        </w:rPr>
        <w:t xml:space="preserve"> - (213) 740-5086</w:t>
      </w:r>
    </w:p>
    <w:p w14:paraId="7B18D6B7" w14:textId="77777777" w:rsidR="008F5396" w:rsidRDefault="00000000">
      <w:r>
        <w:t xml:space="preserve">Information about how to get help or help someone affected by harassment, discrimination, retaliation </w:t>
      </w:r>
      <w:proofErr w:type="gramStart"/>
      <w:r>
        <w:t>on the basis of</w:t>
      </w:r>
      <w:proofErr w:type="gramEnd"/>
      <w:r>
        <w:t xml:space="preserve"> a protected characteristic, rights of protected classes, reporting options, and additional resources for students, faculty, staff, visitors, and applicants. </w:t>
      </w:r>
    </w:p>
    <w:p w14:paraId="02F227FE" w14:textId="77777777" w:rsidR="008F5396" w:rsidRDefault="00000000">
      <w:pPr>
        <w:rPr>
          <w:i/>
          <w:iCs/>
        </w:rPr>
      </w:pPr>
      <w:r>
        <w:rPr>
          <w:i/>
          <w:iCs/>
        </w:rPr>
        <w:t xml:space="preserve"> </w:t>
      </w:r>
    </w:p>
    <w:p w14:paraId="1EF4DD5E" w14:textId="77777777" w:rsidR="008F5396" w:rsidRDefault="00000000">
      <w:pPr>
        <w:rPr>
          <w:i/>
          <w:iCs/>
        </w:rPr>
      </w:pPr>
      <w:hyperlink r:id="rId48">
        <w:r>
          <w:rPr>
            <w:i/>
            <w:iCs/>
            <w:color w:val="0000FF"/>
            <w:u w:val="single"/>
          </w:rPr>
          <w:t>USC Campus Support and Intervention</w:t>
        </w:r>
      </w:hyperlink>
      <w:r>
        <w:rPr>
          <w:i/>
          <w:iCs/>
        </w:rPr>
        <w:t xml:space="preserve"> - (213) 740-0411, uscsupport@usc.edu</w:t>
      </w:r>
    </w:p>
    <w:p w14:paraId="32DD2B6E" w14:textId="77777777" w:rsidR="008F5396" w:rsidRDefault="00000000">
      <w:r>
        <w:t>Assists students and families in resolving complex personal, financial, and academic issues adversely affecting their success as a student.</w:t>
      </w:r>
    </w:p>
    <w:p w14:paraId="69D7E1FE" w14:textId="77777777" w:rsidR="008F5396" w:rsidRDefault="00000000">
      <w:r>
        <w:t xml:space="preserve"> </w:t>
      </w:r>
    </w:p>
    <w:p w14:paraId="1A05AE9C" w14:textId="77777777" w:rsidR="008F5396" w:rsidRDefault="00000000">
      <w:pPr>
        <w:rPr>
          <w:i/>
          <w:iCs/>
          <w:color w:val="1155CC"/>
          <w:u w:val="single"/>
        </w:rPr>
      </w:pPr>
      <w:hyperlink r:id="rId49">
        <w:r>
          <w:rPr>
            <w:i/>
            <w:iCs/>
            <w:color w:val="1155CC"/>
            <w:u w:val="single"/>
          </w:rPr>
          <w:t>USC Emergency Information</w:t>
        </w:r>
      </w:hyperlink>
    </w:p>
    <w:p w14:paraId="67084846" w14:textId="77777777" w:rsidR="008F5396" w:rsidRDefault="00000000">
      <w:r>
        <w:t>Latest updates regarding safety, including ways in which instruction will be continued if an officially declared emergency makes travel to campus infeasible.</w:t>
      </w:r>
    </w:p>
    <w:p w14:paraId="43C988B6" w14:textId="77777777" w:rsidR="008F5396" w:rsidRDefault="00000000">
      <w:r>
        <w:t xml:space="preserve"> </w:t>
      </w:r>
    </w:p>
    <w:p w14:paraId="258E7B72" w14:textId="77777777" w:rsidR="008F5396" w:rsidRDefault="00000000">
      <w:pPr>
        <w:rPr>
          <w:i/>
          <w:iCs/>
          <w:color w:val="0000FF"/>
          <w:u w:val="single"/>
        </w:rPr>
      </w:pPr>
      <w:hyperlink r:id="rId50">
        <w:r>
          <w:rPr>
            <w:i/>
            <w:iCs/>
            <w:color w:val="0000FF"/>
            <w:u w:val="single"/>
          </w:rPr>
          <w:t>USC Department of Public Safety</w:t>
        </w:r>
      </w:hyperlink>
    </w:p>
    <w:p w14:paraId="66228945" w14:textId="77777777" w:rsidR="008F5396" w:rsidRDefault="00000000">
      <w:r>
        <w:t xml:space="preserve">For </w:t>
      </w:r>
      <w:proofErr w:type="gramStart"/>
      <w:r>
        <w:t>24 hour</w:t>
      </w:r>
      <w:proofErr w:type="gramEnd"/>
      <w:r>
        <w:t xml:space="preserve"> emergency assistance or to report a crime: UPC: (213) 740-4321, HSC: (323)-442-1000.</w:t>
      </w:r>
    </w:p>
    <w:p w14:paraId="55F9197F" w14:textId="77777777" w:rsidR="008F5396" w:rsidRDefault="00000000">
      <w:r>
        <w:lastRenderedPageBreak/>
        <w:t xml:space="preserve">For </w:t>
      </w:r>
      <w:proofErr w:type="gramStart"/>
      <w:r>
        <w:t>24 hour</w:t>
      </w:r>
      <w:proofErr w:type="gramEnd"/>
      <w:r>
        <w:t xml:space="preserve"> non-emergency assistance or information: UPC: (213) 740-6000, HSC: 323-442-1200.</w:t>
      </w:r>
    </w:p>
    <w:p w14:paraId="5053F986" w14:textId="77777777" w:rsidR="008F5396" w:rsidRDefault="00000000">
      <w:r>
        <w:t xml:space="preserve"> </w:t>
      </w:r>
    </w:p>
    <w:p w14:paraId="40986218" w14:textId="77777777" w:rsidR="008F5396" w:rsidRDefault="00000000">
      <w:pPr>
        <w:rPr>
          <w:i/>
          <w:iCs/>
        </w:rPr>
      </w:pPr>
      <w:hyperlink r:id="rId51">
        <w:r>
          <w:rPr>
            <w:i/>
            <w:iCs/>
            <w:color w:val="0000FF"/>
            <w:u w:val="single"/>
          </w:rPr>
          <w:t>Office of the Ombuds</w:t>
        </w:r>
      </w:hyperlink>
      <w:r>
        <w:rPr>
          <w:i/>
          <w:iCs/>
        </w:rPr>
        <w:t xml:space="preserve"> - (213) 821-9556 (UPC) / (323-442-0382 (HSC)</w:t>
      </w:r>
    </w:p>
    <w:p w14:paraId="30F81972" w14:textId="77777777" w:rsidR="008F5396" w:rsidRDefault="00000000">
      <w:r>
        <w:t>A safe and confidential place to share your USC-related issues with a University Ombuds who will work with you to explore options or paths to manage your concern.</w:t>
      </w:r>
    </w:p>
    <w:p w14:paraId="38F50561" w14:textId="77777777" w:rsidR="008F5396" w:rsidRDefault="00000000">
      <w:r>
        <w:t xml:space="preserve"> </w:t>
      </w:r>
    </w:p>
    <w:p w14:paraId="2ADC2159" w14:textId="77777777" w:rsidR="008F5396" w:rsidRDefault="00000000">
      <w:pPr>
        <w:rPr>
          <w:color w:val="0000FF"/>
        </w:rPr>
      </w:pPr>
      <w:hyperlink r:id="rId52">
        <w:r>
          <w:rPr>
            <w:i/>
            <w:iCs/>
            <w:color w:val="0000FF"/>
            <w:u w:val="single"/>
          </w:rPr>
          <w:t>Occupational Therapy Faculty Practice</w:t>
        </w:r>
      </w:hyperlink>
      <w:r>
        <w:rPr>
          <w:i/>
          <w:iCs/>
        </w:rPr>
        <w:t xml:space="preserve"> - (323) 442-2850 or </w:t>
      </w:r>
      <w:r>
        <w:t>otfp@med.usc.edu</w:t>
      </w:r>
    </w:p>
    <w:p w14:paraId="59F81545" w14:textId="77777777" w:rsidR="008F5396" w:rsidRDefault="00000000">
      <w:r>
        <w:t xml:space="preserve">Lifestyle Redesign services for USC students to support health promoting habits and routines that enhance quality of life and academic performance.  </w:t>
      </w:r>
    </w:p>
    <w:p w14:paraId="1D54CBEA" w14:textId="77777777" w:rsidR="008F5396" w:rsidRDefault="008F5396"/>
    <w:p w14:paraId="591F8D4C" w14:textId="77777777" w:rsidR="008F5396" w:rsidRDefault="00000000">
      <w:pPr>
        <w:spacing w:line="276" w:lineRule="auto"/>
        <w:rPr>
          <w:color w:val="242424"/>
          <w:highlight w:val="white"/>
        </w:rPr>
      </w:pPr>
      <w:hyperlink r:id="rId53">
        <w:r>
          <w:rPr>
            <w:i/>
            <w:iCs/>
            <w:color w:val="1155CC"/>
            <w:highlight w:val="white"/>
            <w:u w:val="single"/>
          </w:rPr>
          <w:t>The Office of Sustainability</w:t>
        </w:r>
      </w:hyperlink>
      <w:r>
        <w:rPr>
          <w:i/>
          <w:iCs/>
          <w:color w:val="242424"/>
          <w:highlight w:val="white"/>
        </w:rPr>
        <w:t xml:space="preserve"> </w:t>
      </w:r>
      <w:r>
        <w:rPr>
          <w:color w:val="242424"/>
          <w:highlight w:val="white"/>
        </w:rPr>
        <w:t>promotes numerous ways for all Trojans to study, work, and live sustainably at USC. Students can access tools, resources, and opportunities on their website and in the Sustainability Hub in the Student Union Building, Suite 101.</w:t>
      </w:r>
    </w:p>
    <w:p w14:paraId="2A7C8CC7" w14:textId="77777777" w:rsidR="008F5396" w:rsidRDefault="008F5396">
      <w:pPr>
        <w:spacing w:line="276" w:lineRule="auto"/>
        <w:rPr>
          <w:color w:val="242424"/>
          <w:highlight w:val="white"/>
        </w:rPr>
      </w:pPr>
    </w:p>
    <w:p w14:paraId="073184EA" w14:textId="77777777" w:rsidR="008F5396" w:rsidRDefault="00000000">
      <w:pPr>
        <w:spacing w:line="276" w:lineRule="auto"/>
      </w:pPr>
      <w:hyperlink r:id="rId54">
        <w:r>
          <w:rPr>
            <w:i/>
            <w:iCs/>
            <w:color w:val="1155CC"/>
            <w:u w:val="single"/>
          </w:rPr>
          <w:t>USC Report &amp; Response</w:t>
        </w:r>
      </w:hyperlink>
      <w:r>
        <w:rPr>
          <w:i/>
          <w:iCs/>
          <w:color w:val="242424"/>
        </w:rPr>
        <w:t xml:space="preserve"> </w:t>
      </w:r>
      <w:r>
        <w:rPr>
          <w:color w:val="242424"/>
        </w:rPr>
        <w:t xml:space="preserve">provides a front door to reporting concerns, including an ability to report anonymously, which violate university policies or go against our Unifying Values and helps connect you with the support you need. The website provides a list of confidential resources, supporting offices, and policies that are available to our university community. </w:t>
      </w:r>
      <w:r>
        <w:t xml:space="preserve">The </w:t>
      </w:r>
      <w:hyperlink r:id="rId55">
        <w:r>
          <w:rPr>
            <w:color w:val="1155CC"/>
            <w:u w:val="single"/>
          </w:rPr>
          <w:t>Resources page</w:t>
        </w:r>
      </w:hyperlink>
      <w:r>
        <w:t xml:space="preserve"> </w:t>
      </w:r>
      <w:r>
        <w:rPr>
          <w:color w:val="242424"/>
        </w:rPr>
        <w:t xml:space="preserve">includes information regarding the university’s response in the event of immigration enforcement activity on campus or involving a student or employee.  Additional questions may be directed to the Office of Professionalism and Ethics (OPE) and </w:t>
      </w:r>
      <w:hyperlink r:id="rId56">
        <w:r>
          <w:rPr>
            <w:color w:val="1155CC"/>
            <w:u w:val="single"/>
          </w:rPr>
          <w:t>ope@usc.edu</w:t>
        </w:r>
      </w:hyperlink>
      <w:r>
        <w:rPr>
          <w:color w:val="242424"/>
        </w:rPr>
        <w:t xml:space="preserve"> or in reviewing the </w:t>
      </w:r>
      <w:hyperlink r:id="rId57">
        <w:r>
          <w:rPr>
            <w:color w:val="1155CC"/>
            <w:u w:val="single"/>
          </w:rPr>
          <w:t xml:space="preserve">Office of Professionalism and Ethics </w:t>
        </w:r>
      </w:hyperlink>
      <w:r>
        <w:rPr>
          <w:color w:val="242424"/>
        </w:rPr>
        <w:t xml:space="preserve">website.   </w:t>
      </w:r>
    </w:p>
    <w:sectPr w:rsidR="008F5396">
      <w:headerReference w:type="even" r:id="rId58"/>
      <w:headerReference w:type="default" r:id="rId59"/>
      <w:footerReference w:type="even" r:id="rId60"/>
      <w:footerReference w:type="default" r:id="rId61"/>
      <w:headerReference w:type="first" r:id="rId62"/>
      <w:footerReference w:type="first" r:id="rId63"/>
      <w:pgSz w:w="12240" w:h="15840"/>
      <w:pgMar w:top="1152" w:right="1728" w:bottom="1152" w:left="1728" w:header="864" w:footer="50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E85D77" w14:textId="77777777" w:rsidR="008B499B" w:rsidRDefault="008B499B">
      <w:r>
        <w:separator/>
      </w:r>
    </w:p>
  </w:endnote>
  <w:endnote w:type="continuationSeparator" w:id="0">
    <w:p w14:paraId="0E0D987B" w14:textId="77777777" w:rsidR="008B499B" w:rsidRDefault="008B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BB9B9A3-72C0-BD43-AEE9-C1D046B4376C}"/>
  </w:font>
  <w:font w:name="Calibri">
    <w:panose1 w:val="020F0502020204030204"/>
    <w:charset w:val="00"/>
    <w:family w:val="swiss"/>
    <w:pitch w:val="variable"/>
    <w:sig w:usb0="E0002AFF" w:usb1="C000247B" w:usb2="00000009" w:usb3="00000000" w:csb0="000001FF" w:csb1="00000000"/>
    <w:embedRegular r:id="rId2" w:fontKey="{4FBB6C89-F155-8E4F-B06E-ECF92030B7D5}"/>
    <w:embedBold r:id="rId3" w:fontKey="{2C59A8EB-3129-FB44-9F9B-B80985CEBA54}"/>
    <w:embedItalic r:id="rId4" w:fontKey="{66764A48-FF68-874A-8326-48E4D789F4D9}"/>
  </w:font>
  <w:font w:name="Georgia">
    <w:panose1 w:val="02040502050405020303"/>
    <w:charset w:val="00"/>
    <w:family w:val="roman"/>
    <w:pitch w:val="variable"/>
    <w:sig w:usb0="00000287" w:usb1="00000000" w:usb2="00000000" w:usb3="00000000" w:csb0="0000009F" w:csb1="00000000"/>
    <w:embedItalic r:id="rId5" w:fontKey="{96A2489A-B85C-0B49-9ACF-B484F600216F}"/>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r:id="rId7" w:fontKey="{8D13D611-1D3A-0646-9D12-1EF2594D0C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CBEE1" w14:textId="77777777" w:rsidR="008F5396" w:rsidRDefault="008F5396">
    <w:pPr>
      <w:pBdr>
        <w:top w:val="nil"/>
        <w:left w:val="nil"/>
        <w:bottom w:val="nil"/>
        <w:right w:val="nil"/>
        <w:between w:val="nil"/>
      </w:pBdr>
      <w:tabs>
        <w:tab w:val="center" w:pos="4320"/>
        <w:tab w:val="right" w:pos="8640"/>
      </w:tabs>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20D018" w14:textId="77777777" w:rsidR="008F5396" w:rsidRDefault="008F5396">
    <w:pPr>
      <w:pBdr>
        <w:top w:val="nil"/>
        <w:left w:val="nil"/>
        <w:bottom w:val="nil"/>
        <w:right w:val="nil"/>
        <w:between w:val="nil"/>
      </w:pBdr>
      <w:tabs>
        <w:tab w:val="center" w:pos="4320"/>
        <w:tab w:val="right" w:pos="8640"/>
      </w:tabs>
      <w:jc w:val="center"/>
      <w:rPr>
        <w:color w:val="000000"/>
        <w:sz w:val="18"/>
        <w:szCs w:val="18"/>
      </w:rPr>
    </w:pPr>
  </w:p>
  <w:p w14:paraId="19DBEB55" w14:textId="7256E829" w:rsidR="008F5396" w:rsidRDefault="00000000">
    <w:pPr>
      <w:pBdr>
        <w:top w:val="nil"/>
        <w:left w:val="nil"/>
        <w:bottom w:val="nil"/>
        <w:right w:val="nil"/>
        <w:between w:val="nil"/>
      </w:pBdr>
      <w:tabs>
        <w:tab w:val="center" w:pos="4320"/>
        <w:tab w:val="right" w:pos="8640"/>
      </w:tabs>
      <w:jc w:val="right"/>
      <w:rPr>
        <w:smallCaps/>
        <w:color w:val="000000"/>
        <w:sz w:val="18"/>
        <w:szCs w:val="18"/>
      </w:rPr>
    </w:pPr>
    <w:r>
      <w:rPr>
        <w:color w:val="000000"/>
        <w:sz w:val="18"/>
        <w:szCs w:val="18"/>
      </w:rPr>
      <w:t xml:space="preserve">Page </w:t>
    </w:r>
    <w:r>
      <w:rPr>
        <w:smallCaps/>
        <w:color w:val="000000"/>
        <w:sz w:val="18"/>
        <w:szCs w:val="18"/>
      </w:rPr>
      <w:fldChar w:fldCharType="begin"/>
    </w:r>
    <w:r>
      <w:rPr>
        <w:smallCaps/>
        <w:color w:val="000000"/>
        <w:sz w:val="18"/>
        <w:szCs w:val="18"/>
      </w:rPr>
      <w:instrText>PAGE</w:instrText>
    </w:r>
    <w:r>
      <w:rPr>
        <w:smallCaps/>
        <w:color w:val="000000"/>
        <w:sz w:val="18"/>
        <w:szCs w:val="18"/>
      </w:rPr>
      <w:fldChar w:fldCharType="separate"/>
    </w:r>
    <w:r w:rsidR="00490B33">
      <w:rPr>
        <w:smallCaps/>
        <w:noProof/>
        <w:color w:val="000000"/>
        <w:sz w:val="18"/>
        <w:szCs w:val="18"/>
      </w:rPr>
      <w:t>2</w:t>
    </w:r>
    <w:r>
      <w:rPr>
        <w:smallCaps/>
        <w:color w:val="000000"/>
        <w:sz w:val="18"/>
        <w:szCs w:val="18"/>
      </w:rPr>
      <w:fldChar w:fldCharType="end"/>
    </w:r>
  </w:p>
  <w:p w14:paraId="24DFE1B7" w14:textId="77777777" w:rsidR="008F5396" w:rsidRDefault="008F5396">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C9C309" w14:textId="77777777" w:rsidR="008F5396" w:rsidRDefault="008F5396">
    <w:pPr>
      <w:pBdr>
        <w:top w:val="nil"/>
        <w:left w:val="nil"/>
        <w:bottom w:val="nil"/>
        <w:right w:val="nil"/>
        <w:between w:val="nil"/>
      </w:pBdr>
      <w:tabs>
        <w:tab w:val="center" w:pos="4320"/>
        <w:tab w:val="right" w:pos="8640"/>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DCF7FF" w14:textId="77777777" w:rsidR="008B499B" w:rsidRDefault="008B499B">
      <w:r>
        <w:separator/>
      </w:r>
    </w:p>
  </w:footnote>
  <w:footnote w:type="continuationSeparator" w:id="0">
    <w:p w14:paraId="5A0DF0BB" w14:textId="77777777" w:rsidR="008B499B" w:rsidRDefault="008B4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E82177" w14:textId="77777777" w:rsidR="008F5396" w:rsidRDefault="008F539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85F7EE" w14:textId="77777777" w:rsidR="008F5396" w:rsidRDefault="008F5396">
    <w:pPr>
      <w:pBdr>
        <w:top w:val="nil"/>
        <w:left w:val="nil"/>
        <w:bottom w:val="nil"/>
        <w:right w:val="nil"/>
        <w:between w:val="nil"/>
      </w:pBdr>
      <w:tabs>
        <w:tab w:val="center" w:pos="4320"/>
        <w:tab w:val="right" w:pos="8640"/>
      </w:tabs>
      <w:jc w:val="center"/>
      <w:rPr>
        <w:color w:val="000000"/>
      </w:rPr>
    </w:pPr>
  </w:p>
  <w:p w14:paraId="5D856A02" w14:textId="77777777" w:rsidR="008F5396" w:rsidRDefault="008F539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CE18A" w14:textId="77777777" w:rsidR="008F5396" w:rsidRDefault="008F5396">
    <w:pPr>
      <w:pBdr>
        <w:top w:val="nil"/>
        <w:left w:val="nil"/>
        <w:bottom w:val="nil"/>
        <w:right w:val="nil"/>
        <w:between w:val="nil"/>
      </w:pBdr>
      <w:tabs>
        <w:tab w:val="center" w:pos="4320"/>
        <w:tab w:val="right" w:pos="8640"/>
      </w:tabs>
      <w:jc w:val="right"/>
      <w:rPr>
        <w:color w:val="000000"/>
      </w:rPr>
    </w:pPr>
  </w:p>
  <w:p w14:paraId="3C95220E" w14:textId="40461095" w:rsidR="008F5396" w:rsidRDefault="00000000">
    <w:pPr>
      <w:spacing w:before="240" w:after="240"/>
    </w:pPr>
    <w:r>
      <w:t>This syllabus template is intended to be a customizable document. Formatting should be aligned with your school or department guidelines. Text labeled as “</w:t>
    </w:r>
    <w:r>
      <w:rPr>
        <w:b/>
        <w:bCs/>
      </w:rPr>
      <w:t>Template guidance</w:t>
    </w:r>
    <w:r>
      <w:t xml:space="preserve">” is instructional and should be removed before finalizing your syllabus. Text </w:t>
    </w:r>
    <w:r w:rsidR="00490B33">
      <w:t>identified as</w:t>
    </w:r>
    <w:r>
      <w:t xml:space="preserve"> “</w:t>
    </w:r>
    <w:r>
      <w:rPr>
        <w:b/>
        <w:bCs/>
      </w:rPr>
      <w:t>Required</w:t>
    </w:r>
    <w:r>
      <w:t xml:space="preserve">” reflects university-wide expectations. </w:t>
    </w:r>
    <w:hyperlink r:id="rId1">
      <w:r>
        <w:rPr>
          <w:color w:val="1155CC"/>
          <w:u w:val="single"/>
        </w:rPr>
        <w:t>Contact CET</w:t>
      </w:r>
    </w:hyperlink>
    <w:r>
      <w:t xml:space="preserve"> for assistance with creating your syllabi, policies, learning objectives, assessments, and course activities. If you are preparing a syllabus for UCOC submission, refer to the Curriculum Office </w:t>
    </w:r>
    <w:hyperlink r:id="rId2">
      <w:r>
        <w:rPr>
          <w:color w:val="0000FF"/>
          <w:u w:val="single"/>
        </w:rPr>
        <w:t>Resources</w:t>
      </w:r>
    </w:hyperlink>
    <w:r>
      <w:t xml:space="preserve"> page for information on required items.</w:t>
    </w:r>
  </w:p>
  <w:p w14:paraId="40485265" w14:textId="77777777" w:rsidR="008F5396" w:rsidRDefault="00000000">
    <w:pPr>
      <w:ind w:right="360"/>
      <w:jc w:val="right"/>
    </w:pPr>
    <w:r>
      <w:t>Revised July 2026</w:t>
    </w:r>
  </w:p>
  <w:p w14:paraId="318DC854" w14:textId="77777777" w:rsidR="008F5396" w:rsidRDefault="008F5396">
    <w:pP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3516E3"/>
    <w:multiLevelType w:val="multilevel"/>
    <w:tmpl w:val="7A7C4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34605F"/>
    <w:multiLevelType w:val="multilevel"/>
    <w:tmpl w:val="AD622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68235A"/>
    <w:multiLevelType w:val="multilevel"/>
    <w:tmpl w:val="C374A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8410196">
    <w:abstractNumId w:val="0"/>
  </w:num>
  <w:num w:numId="2" w16cid:durableId="1916934122">
    <w:abstractNumId w:val="1"/>
  </w:num>
  <w:num w:numId="3" w16cid:durableId="30050190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396"/>
    <w:rsid w:val="00490B33"/>
    <w:rsid w:val="008B499B"/>
    <w:rsid w:val="008F5396"/>
    <w:rsid w:val="00EE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93EF3C"/>
  <w15:docId w15:val="{536172C6-50A8-CB43-9109-FE0E7668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600"/>
      <w:outlineLvl w:val="0"/>
    </w:pPr>
    <w:rPr>
      <w:b/>
      <w:bCs/>
      <w:color w:val="000000"/>
      <w:sz w:val="28"/>
      <w:szCs w:val="28"/>
    </w:rPr>
  </w:style>
  <w:style w:type="paragraph" w:styleId="Heading2">
    <w:name w:val="heading 2"/>
    <w:basedOn w:val="Normal"/>
    <w:next w:val="Normal"/>
    <w:uiPriority w:val="9"/>
    <w:unhideWhenUsed/>
    <w:qFormat/>
    <w:pPr>
      <w:spacing w:before="360" w:after="80"/>
      <w:outlineLvl w:val="1"/>
    </w:pPr>
    <w:rPr>
      <w:b/>
      <w:bCs/>
      <w:sz w:val="34"/>
      <w:szCs w:val="34"/>
    </w:rPr>
  </w:style>
  <w:style w:type="paragraph" w:styleId="Heading3">
    <w:name w:val="heading 3"/>
    <w:basedOn w:val="Normal"/>
    <w:next w:val="Normal"/>
    <w:uiPriority w:val="9"/>
    <w:unhideWhenUsed/>
    <w:qFormat/>
    <w:pPr>
      <w:ind w:left="3600"/>
      <w:outlineLvl w:val="2"/>
    </w:pPr>
    <w:rPr>
      <w:b/>
      <w:bCs/>
      <w:color w:val="000000"/>
    </w:rPr>
  </w:style>
  <w:style w:type="paragraph" w:styleId="Heading4">
    <w:name w:val="heading 4"/>
    <w:basedOn w:val="Normal"/>
    <w:next w:val="Normal"/>
    <w:uiPriority w:val="9"/>
    <w:unhideWhenUsed/>
    <w:qFormat/>
    <w:pPr>
      <w:keepNext/>
      <w:jc w:val="center"/>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olicy.usc.edu/research-and-scholarship-misconduct/" TargetMode="External"/><Relationship Id="rId21" Type="http://schemas.openxmlformats.org/officeDocument/2006/relationships/hyperlink" Target="https://policy.usc.edu/studenthandbook/" TargetMode="External"/><Relationship Id="rId34" Type="http://schemas.openxmlformats.org/officeDocument/2006/relationships/hyperlink" Target="https://oec.usc.edu/wp-content/uploads/2025/11/Student-Handbook-2025-2026.pdf" TargetMode="External"/><Relationship Id="rId42" Type="http://schemas.openxmlformats.org/officeDocument/2006/relationships/hyperlink" Target="https://financialaid.usc.edu/" TargetMode="External"/><Relationship Id="rId47" Type="http://schemas.openxmlformats.org/officeDocument/2006/relationships/hyperlink" Target="http://eeotix.usc.edu/" TargetMode="External"/><Relationship Id="rId50" Type="http://schemas.openxmlformats.org/officeDocument/2006/relationships/hyperlink" Target="https://dps.usc.edu/" TargetMode="External"/><Relationship Id="rId55" Type="http://schemas.openxmlformats.org/officeDocument/2006/relationships/hyperlink" Target="https://report.usc.edu/resources/"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rr.usc.edu/grades-faculty-and-staff/" TargetMode="External"/><Relationship Id="rId29" Type="http://schemas.openxmlformats.org/officeDocument/2006/relationships/hyperlink" Target="https://libraries.usc.edu/ai-literacy" TargetMode="External"/><Relationship Id="rId11" Type="http://schemas.openxmlformats.org/officeDocument/2006/relationships/hyperlink" Target="https://itservices.usc.edu/usc-computing-center-laptop-loaner-program/" TargetMode="External"/><Relationship Id="rId24" Type="http://schemas.openxmlformats.org/officeDocument/2006/relationships/hyperlink" Target="https://academicintegrity.usc.edu/" TargetMode="External"/><Relationship Id="rId32" Type="http://schemas.openxmlformats.org/officeDocument/2006/relationships/hyperlink" Target="https://libguides.usc.edu/generative-AI" TargetMode="External"/><Relationship Id="rId37" Type="http://schemas.openxmlformats.org/officeDocument/2006/relationships/hyperlink" Target="https://arr.usc.edu/final-exam-schedule/" TargetMode="External"/><Relationship Id="rId40" Type="http://schemas.openxmlformats.org/officeDocument/2006/relationships/hyperlink" Target="http://osas.usc.edu/" TargetMode="External"/><Relationship Id="rId45" Type="http://schemas.openxmlformats.org/officeDocument/2006/relationships/hyperlink" Target="http://988lifeline.org/" TargetMode="External"/><Relationship Id="rId53" Type="http://schemas.openxmlformats.org/officeDocument/2006/relationships/hyperlink" Target="https://sustainability.usc.edu/"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policy.usc.edu/studenthandbook/" TargetMode="External"/><Relationship Id="rId14" Type="http://schemas.openxmlformats.org/officeDocument/2006/relationships/hyperlink" Target="https://cet.usc.edu/teaching-resources/" TargetMode="External"/><Relationship Id="rId22" Type="http://schemas.openxmlformats.org/officeDocument/2006/relationships/hyperlink" Target="https://policy.usc.edu/studenthandbook/" TargetMode="External"/><Relationship Id="rId27" Type="http://schemas.openxmlformats.org/officeDocument/2006/relationships/hyperlink" Target="https://policy.usc.edu/studenthandbook/" TargetMode="External"/><Relationship Id="rId30" Type="http://schemas.openxmlformats.org/officeDocument/2006/relationships/hyperlink" Target="https://academicintegrity.usc.edu/generative-ai-and-chatgpt-edu/" TargetMode="External"/><Relationship Id="rId35" Type="http://schemas.openxmlformats.org/officeDocument/2006/relationships/hyperlink" Target="https://oir.usc.edu/learning-experience-evaluation/" TargetMode="External"/><Relationship Id="rId43" Type="http://schemas.openxmlformats.org/officeDocument/2006/relationships/hyperlink" Target="https://financialaid.usc.edu/" TargetMode="External"/><Relationship Id="rId48" Type="http://schemas.openxmlformats.org/officeDocument/2006/relationships/hyperlink" Target="http://campussupport.usc.edu/" TargetMode="External"/><Relationship Id="rId56" Type="http://schemas.openxmlformats.org/officeDocument/2006/relationships/hyperlink" Target="mailto:ope@usc.edu"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ombuds.usc.edu/" TargetMode="External"/><Relationship Id="rId3" Type="http://schemas.openxmlformats.org/officeDocument/2006/relationships/styles" Target="styles.xml"/><Relationship Id="rId12" Type="http://schemas.openxmlformats.org/officeDocument/2006/relationships/hyperlink" Target="https://itservices.usc.edu/software/" TargetMode="External"/><Relationship Id="rId17" Type="http://schemas.openxmlformats.org/officeDocument/2006/relationships/hyperlink" Target="https://arr.usc.edu/usc-curriculum_handbook/" TargetMode="External"/><Relationship Id="rId25" Type="http://schemas.openxmlformats.org/officeDocument/2006/relationships/hyperlink" Target="https://policy.usc.edu/research-and-scholarship-misconduct/" TargetMode="External"/><Relationship Id="rId33" Type="http://schemas.openxmlformats.org/officeDocument/2006/relationships/hyperlink" Target="https://policy.usc.edu/generative-ai-general-policy/" TargetMode="External"/><Relationship Id="rId38" Type="http://schemas.openxmlformats.org/officeDocument/2006/relationships/hyperlink" Target="https://osas.usc.edu/" TargetMode="External"/><Relationship Id="rId46" Type="http://schemas.openxmlformats.org/officeDocument/2006/relationships/hyperlink" Target="https://sites.usc.edu/clientservices/" TargetMode="External"/><Relationship Id="rId59" Type="http://schemas.openxmlformats.org/officeDocument/2006/relationships/header" Target="header2.xml"/><Relationship Id="rId20" Type="http://schemas.openxmlformats.org/officeDocument/2006/relationships/hyperlink" Target="https://policy.usc.edu/studenthandbook/" TargetMode="External"/><Relationship Id="rId41" Type="http://schemas.openxmlformats.org/officeDocument/2006/relationships/hyperlink" Target="http://osas.usc.edu/" TargetMode="External"/><Relationship Id="rId54" Type="http://schemas.openxmlformats.org/officeDocument/2006/relationships/hyperlink" Target="https://report.usc.edu/"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rr.usc.edu/usc-curriculum_handbook/" TargetMode="External"/><Relationship Id="rId23" Type="http://schemas.openxmlformats.org/officeDocument/2006/relationships/hyperlink" Target="https://academicintegrity.usc.edu/" TargetMode="External"/><Relationship Id="rId28" Type="http://schemas.openxmlformats.org/officeDocument/2006/relationships/hyperlink" Target="https://policy.usc.edu/generative-ai-general-policy/" TargetMode="External"/><Relationship Id="rId36" Type="http://schemas.openxmlformats.org/officeDocument/2006/relationships/hyperlink" Target="https://cet.usc.edu/teaching-resources/mid-semester-evaluation/" TargetMode="External"/><Relationship Id="rId49" Type="http://schemas.openxmlformats.org/officeDocument/2006/relationships/hyperlink" Target="https://emergency.usc.edu/" TargetMode="External"/><Relationship Id="rId57" Type="http://schemas.openxmlformats.org/officeDocument/2006/relationships/hyperlink" Target="https://ope.usc.edu/office-of-professionalism-and-ethics/" TargetMode="External"/><Relationship Id="rId10" Type="http://schemas.openxmlformats.org/officeDocument/2006/relationships/hyperlink" Target="https://cet.usc.edu/teaching-resources/" TargetMode="External"/><Relationship Id="rId31" Type="http://schemas.openxmlformats.org/officeDocument/2006/relationships/hyperlink" Target="https://academicintegrity.usc.edu/faculty-resources/addressing-generative-ai/" TargetMode="External"/><Relationship Id="rId44" Type="http://schemas.openxmlformats.org/officeDocument/2006/relationships/hyperlink" Target="https://sites.usc.edu/counselingandmentalhealth/" TargetMode="External"/><Relationship Id="rId52" Type="http://schemas.openxmlformats.org/officeDocument/2006/relationships/hyperlink" Target="http://chan.usc.edu/patient-care/faculty-practice"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r.usc.edu/curriculum/" TargetMode="External"/><Relationship Id="rId13" Type="http://schemas.openxmlformats.org/officeDocument/2006/relationships/hyperlink" Target="https://www.brightspacehelp.usc.edu/students/" TargetMode="External"/><Relationship Id="rId18" Type="http://schemas.openxmlformats.org/officeDocument/2006/relationships/hyperlink" Target="https://cet.usc.edu/teaching-resources/community-agreements/" TargetMode="External"/><Relationship Id="rId39" Type="http://schemas.openxmlformats.org/officeDocument/2006/relationships/hyperlink" Target="https://osas.usc.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arr.usc.edu/faculty-staff/curriculum/resources/" TargetMode="External"/><Relationship Id="rId1" Type="http://schemas.openxmlformats.org/officeDocument/2006/relationships/hyperlink" Target="https://cet.usc.edu/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9J0sDSXYMvP+/5AAsbhsIHEC/w==">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4327</Words>
  <Characters>24669</Characters>
  <Application>Microsoft Office Word</Application>
  <DocSecurity>0</DocSecurity>
  <Lines>205</Lines>
  <Paragraphs>57</Paragraphs>
  <ScaleCrop>false</ScaleCrop>
  <Company/>
  <LinksUpToDate>false</LinksUpToDate>
  <CharactersWithSpaces>28939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Ingrid Steiner</cp:lastModifiedBy>
  <cp:revision>2</cp:revision>
  <dcterms:created xsi:type="dcterms:W3CDTF">2026-07-09T17:52:00Z</dcterms:created>
  <dcterms:modified xsi:type="dcterms:W3CDTF">2026-07-09T17:55:00Z</dcterms:modified>
</cp:coreProperties>
</file>