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9F9A" w14:textId="71BA1E86" w:rsidR="00276642" w:rsidRDefault="000D6F02" w:rsidP="009C4CBC">
      <w:pPr>
        <w:pStyle w:val="BodyText"/>
        <w:tabs>
          <w:tab w:val="left" w:pos="8820"/>
        </w:tabs>
      </w:pPr>
      <w:r>
        <w:rPr>
          <w:noProof/>
        </w:rPr>
        <w:drawing>
          <wp:inline distT="114300" distB="114300" distL="114300" distR="114300" wp14:anchorId="592BBD67" wp14:editId="7E0DEBF6">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3EABA027" w14:textId="1AC6DA82" w:rsidR="00FB6A5D" w:rsidRDefault="00110AF9" w:rsidP="00110AF9">
      <w:pPr>
        <w:pStyle w:val="Heading1"/>
      </w:pPr>
      <w:r>
        <w:t>Trauma-informed teaching</w:t>
      </w:r>
    </w:p>
    <w:p w14:paraId="260A2C70" w14:textId="77777777" w:rsidR="00110AF9" w:rsidRDefault="00110AF9" w:rsidP="00110AF9">
      <w:pPr>
        <w:pStyle w:val="Heading2"/>
      </w:pPr>
      <w:r>
        <w:t>WHAT IS THIS RESOURCE?</w:t>
      </w:r>
    </w:p>
    <w:p w14:paraId="6F577EC1" w14:textId="3E3E4204" w:rsidR="00110AF9" w:rsidRDefault="00DE7D10" w:rsidP="00110AF9">
      <w:pPr>
        <w:pStyle w:val="BodyText"/>
      </w:pPr>
      <w:r>
        <w:t>A compilation of teaching techniques and strategies that can minimize unproductive stress in students and support students who are dealing with trauma.</w:t>
      </w:r>
    </w:p>
    <w:p w14:paraId="0AA6A98D" w14:textId="77777777" w:rsidR="00110AF9" w:rsidRDefault="00110AF9" w:rsidP="00110AF9">
      <w:pPr>
        <w:pStyle w:val="Heading2"/>
      </w:pPr>
      <w:r>
        <w:t xml:space="preserve">HOW DO I </w:t>
      </w:r>
      <w:r w:rsidRPr="00404327">
        <w:t>USE</w:t>
      </w:r>
      <w:r>
        <w:t xml:space="preserve"> IT?</w:t>
      </w:r>
    </w:p>
    <w:p w14:paraId="36C34E61" w14:textId="20F795C6" w:rsidR="00110AF9" w:rsidRPr="00613DBF" w:rsidRDefault="00DE7D10" w:rsidP="00110AF9">
      <w:pPr>
        <w:pStyle w:val="BodyText"/>
      </w:pPr>
      <w:r>
        <w:t>Review the suggested practices</w:t>
      </w:r>
      <w:r w:rsidR="00450A67">
        <w:t xml:space="preserve"> and reflect on how to</w:t>
      </w:r>
      <w:r>
        <w:t xml:space="preserve"> incorporate them into your teaching. </w:t>
      </w:r>
      <w:r w:rsidR="00110AF9" w:rsidRPr="00DE7D10">
        <w:t xml:space="preserve">For assistance, please contact </w:t>
      </w:r>
      <w:hyperlink r:id="rId9" w:history="1">
        <w:r w:rsidRPr="00DE7D10">
          <w:rPr>
            <w:rStyle w:val="Hyperlink"/>
          </w:rPr>
          <w:t>the USC Center for Excellence in Teaching</w:t>
        </w:r>
      </w:hyperlink>
      <w:r w:rsidRPr="00DE7D10">
        <w:t>.</w:t>
      </w:r>
    </w:p>
    <w:p w14:paraId="239BAB5F" w14:textId="7EDF7059" w:rsidR="00110AF9" w:rsidRDefault="00110AF9" w:rsidP="00110AF9">
      <w:pPr>
        <w:pStyle w:val="Heading3"/>
      </w:pPr>
      <w:r>
        <w:t>What is trauma-informed teaching?</w:t>
      </w:r>
    </w:p>
    <w:p w14:paraId="5CE6033C" w14:textId="5AED099C" w:rsidR="00110AF9" w:rsidRDefault="00613DBF" w:rsidP="00D46D6D">
      <w:pPr>
        <w:pStyle w:val="BodyText"/>
      </w:pPr>
      <w:r>
        <w:t xml:space="preserve">Trauma can be defined as </w:t>
      </w:r>
      <w:r w:rsidR="00D46D6D">
        <w:t>“</w:t>
      </w:r>
      <w:r w:rsidRPr="00613DBF">
        <w:t>the body’s protective response to an event</w:t>
      </w:r>
      <w:r w:rsidR="00A93344">
        <w:t xml:space="preserve"> - </w:t>
      </w:r>
      <w:r w:rsidRPr="00613DBF">
        <w:t>or a series of events - that it perceives as potentially dangerous</w:t>
      </w:r>
      <w:r>
        <w:t>.</w:t>
      </w:r>
      <w:r w:rsidR="00D46D6D">
        <w:t>”</w:t>
      </w:r>
      <w:r w:rsidR="00D46D6D" w:rsidRPr="00D46D6D">
        <w:t xml:space="preserve"> </w:t>
      </w:r>
      <w:r w:rsidR="00D46D6D">
        <w:fldChar w:fldCharType="begin"/>
      </w:r>
      <w:r w:rsidR="00D46D6D">
        <w:instrText xml:space="preserve"> ADDIN ZOTERO_ITEM CSL_CITATION {"citationID":"RpS1DUfz","properties":{"formattedCitation":"(Menakem, 2018)","plainCitation":"(Menakem, 2018)","noteIndex":0},"citationItems":[{"id":200,"uris":["http://zotero.org/users/6938549/items/7EGLUSQZ"],"uri":["http://zotero.org/users/6938549/items/7EGLUSQZ"],"itemData":{"id":200,"type":"webpage","abstract":"For the past three decades, we’ve earnestly tried to address white supremacy with reason, principles, and ideas — using dialogue, forums…","container-title":"Medium","language":"en","title":"White Supremacy as a Trauma Response","URL":"https://medium.com/@rmenakem/white-supremacy-as-a-trauma-response-ce631b82b975","author":[{"family":"Menakem","given":"Resmaa"}],"accessed":{"date-parts":[["2021",5,13]]},"issued":{"date-parts":[["2018",9,17]]}}}],"schema":"https://github.com/citation-style-language/schema/raw/master/csl-citation.json"} </w:instrText>
      </w:r>
      <w:r w:rsidR="00D46D6D">
        <w:fldChar w:fldCharType="separate"/>
      </w:r>
      <w:r w:rsidR="00D46D6D">
        <w:rPr>
          <w:noProof/>
        </w:rPr>
        <w:t>(Menakem, 2018)</w:t>
      </w:r>
      <w:r w:rsidR="00D46D6D">
        <w:fldChar w:fldCharType="end"/>
      </w:r>
      <w:r>
        <w:t xml:space="preserve"> </w:t>
      </w:r>
      <w:r w:rsidR="00D46D6D">
        <w:t xml:space="preserve">Danger in this sense may refer to either physical and/or mental harm. </w:t>
      </w:r>
      <w:r>
        <w:t xml:space="preserve">Trauma-informed teaching </w:t>
      </w:r>
      <w:r w:rsidR="00D46D6D">
        <w:t xml:space="preserve">then </w:t>
      </w:r>
      <w:r>
        <w:t xml:space="preserve">is a set of practices that acknowledges the existence of </w:t>
      </w:r>
      <w:r w:rsidR="00450A67">
        <w:t xml:space="preserve">(or potential existence of) </w:t>
      </w:r>
      <w:r w:rsidR="00D46D6D">
        <w:t xml:space="preserve">students’ </w:t>
      </w:r>
      <w:r>
        <w:t>trauma and attempts to minimize its impact on student learning and development.</w:t>
      </w:r>
      <w:r w:rsidR="00D37528">
        <w:t xml:space="preserve"> </w:t>
      </w:r>
    </w:p>
    <w:p w14:paraId="6A710A78" w14:textId="39A8438C" w:rsidR="00613DBF" w:rsidRDefault="00613DBF" w:rsidP="0027605D">
      <w:pPr>
        <w:pStyle w:val="Heading3"/>
      </w:pPr>
      <w:r>
        <w:t>Why practice trauma-informed teaching?</w:t>
      </w:r>
    </w:p>
    <w:p w14:paraId="475E8FE1" w14:textId="2D0694C6" w:rsidR="0027605D" w:rsidRDefault="00D46D6D" w:rsidP="005226E4">
      <w:pPr>
        <w:pStyle w:val="BodyText"/>
      </w:pPr>
      <w:r>
        <w:t xml:space="preserve">Attending to students’ trauma can be supported through a purely ethical argument: we should help others with their trauma as ethical human beings. Instructors have further evidence-supported and professional reasons to </w:t>
      </w:r>
      <w:r w:rsidR="0027605D">
        <w:t>manage students’ trauma</w:t>
      </w:r>
      <w:r w:rsidR="00A93344">
        <w:t>: a</w:t>
      </w:r>
      <w:r w:rsidR="0027605D">
        <w:t>n extensive body of research demonstrates that stress</w:t>
      </w:r>
      <w:r w:rsidR="009B424F">
        <w:t>, particularly chronic stress,</w:t>
      </w:r>
      <w:r w:rsidR="0027605D">
        <w:t xml:space="preserve"> can impair the human cognitive processes of memory retention</w:t>
      </w:r>
      <w:r w:rsidR="005959C4">
        <w:t xml:space="preserve">, memory </w:t>
      </w:r>
      <w:r w:rsidR="0027605D">
        <w:t>recall</w:t>
      </w:r>
      <w:r w:rsidR="005959C4">
        <w:t xml:space="preserve">, decision-making, attention, </w:t>
      </w:r>
      <w:r w:rsidR="007151EE">
        <w:t xml:space="preserve">motivation, </w:t>
      </w:r>
      <w:r w:rsidR="005959C4">
        <w:t>and executive functioning</w:t>
      </w:r>
      <w:r w:rsidR="0027605D">
        <w:t xml:space="preserve">. </w:t>
      </w:r>
      <w:r w:rsidR="005959C4">
        <w:fldChar w:fldCharType="begin"/>
      </w:r>
      <w:r w:rsidR="005226E4">
        <w:instrText xml:space="preserve"> ADDIN ZOTERO_ITEM CSL_CITATION {"citationID":"qeKlERZT","properties":{"formattedCitation":"(Domes &amp; Frings, </w:instrText>
      </w:r>
      <w:r w:rsidR="005226E4" w:rsidRPr="00FC028D">
        <w:rPr>
          <w:lang w:val="nb-NO"/>
        </w:rPr>
        <w:instrText xml:space="preserve">2020)","plainCitation":"(Domes &amp; Frings, 2020)","dontUpdate":true,"noteIndex":0},"citationItems":[{"id":196,"uris":["http://zotero.org/users/6938549/items/YRVFUHMM"],"uri":["http://zotero.org/users/6938549/items/YRVFUHMM"],"itemData":{"id":196,"type":"article-journal","abstract":"In this special issue, we have assembled studies from different cognitive domains that follow a common experimental approach to investigate the effects of acute stress on cognition either by inducing psychological stress with standardized protocols or by manipulating stress-associated physiological systems. While some studies focus on quite basal cognitive functions like motor responses or memory retrieval, others investigate more complex behavior like divergent thinking or prosocial behavior. (PsycInfo Database Record (c) 2020 APA, all rights reserved)","container-title":"Experimental Psychology","DOI":"http://dx.doi.org.libproxy2.usc.edu/10.1027/1618-3169/a000476","ISSN":"1618-3169","issue":"2","language":"English","note":"number-of-pages: 73-76\npublisher: Hogrefe Publishing\n(Germany)","page":"73-76","source":"ProQuest","title":"Stress and cognition in humans: Current findings and open questions in experimental psychology","title-short":"Stress and cognition in humans","volume":"67","author":[{"family":"Domes","given":"Gregor"},{"family":"Frings","given":"Christian"}],"issued":{"date-parts":[["2020"]]}}}],"schema":"https://github.com/citation-style-language/schema/raw/master/csl-citation.json"} </w:instrText>
      </w:r>
      <w:r w:rsidR="005959C4">
        <w:fldChar w:fldCharType="separate"/>
      </w:r>
      <w:r w:rsidR="005959C4" w:rsidRPr="007151EE">
        <w:rPr>
          <w:noProof/>
          <w:lang w:val="nb-NO"/>
        </w:rPr>
        <w:t xml:space="preserve">(Domes &amp; Frings, 2020; </w:t>
      </w:r>
      <w:r w:rsidR="005959C4">
        <w:fldChar w:fldCharType="end"/>
      </w:r>
      <w:r w:rsidR="005959C4">
        <w:fldChar w:fldCharType="begin"/>
      </w:r>
      <w:r w:rsidR="005226E4" w:rsidRPr="007151EE">
        <w:rPr>
          <w:lang w:val="nb-NO"/>
        </w:rPr>
        <w:instrText xml:space="preserve"> ADDIN ZOTERO_ITEM CSL_CITATION {"citationID":"iFmns5rV","properties":{"formattedCitation":"(Cibrian-Llanderal &amp; Hernandez-Baltazar, 2018)","plainCitation":"(Cibrian-Llanderal &amp; Hernandez-Baltazar, 2018)","dontUpdate":true,"noteIndex":0},"citationItems":[{"id":198,"uris":["http://zotero.org/users/6938549/items/HZHFIMDN"],"uri":["http://zotero.org/users/6938549/items/HZHFIMDN"],"itemData":{"id":198,"type":"book","abstract":"Executive functions are processes that help in tasks such as reasoning, planning, troubleshooting, and management of the individual’s own life. A consequence of the specific connections of stress is that executive functions tend to be interrupted when the stimulation load is so big that the individual becomes stressed. The level of cellular stress becomes evident with the increase of cortisol. Cellular processes such as inflammation, proliferation/death, and oxidative stress have been shown in murine models resembling cognitive impairment in humans. This impairment translates into behavioral changes, loss of memory, inability for decision-making, and attention problems. The incorporation of factors, such as drug use and bullying, promotes the impairment of executive functions. Resorting to strategies, such as exercising, environmental enrichment, and changes in the diet, constitutes an excellent aid in the promotion of academic achievement. In this chapter, we discuss the impact of stress on cognitive executive functions associated with academic achievement and also suggest strategies to reduce the impact of stressing factors.","ISBN":"978-1-78923-731-3","language":"en","note":"container-title: Health and Academic Achievement\nDOI: 10.5772/intechopen.72566","publisher":"IntechOpen","source":"www.intechopen.com","title":"Stress and Cognition: Psychological Basis and Support Resources","title-short":"Stress and Cognition","URL":"https://www.intechopen.com/books/health-and-academic-achievement/stress-and-cognition-psychological-basis-and-support-resources","author":[{"family":"Cibrian-Llanderal","given":"Tamara"},{"family":"Hernandez-Baltazar","given":"Montserrat Melgarejo-Gutierrez and Daniel"}],"accessed":{"date-parts":[["2021",5,13]]},"issued":{"date-parts":[["2018",9,19]]}}}],"schema":"https://github.com/citation-style-language/schema/raw/master/csl-citation.json"} </w:instrText>
      </w:r>
      <w:r w:rsidR="005959C4">
        <w:fldChar w:fldCharType="separate"/>
      </w:r>
      <w:r w:rsidR="005959C4" w:rsidRPr="007151EE">
        <w:rPr>
          <w:noProof/>
          <w:lang w:val="nb-NO"/>
        </w:rPr>
        <w:t xml:space="preserve">Cibrian-Llanderal &amp; Hernandez-Baltazar, 2018; </w:t>
      </w:r>
      <w:r w:rsidR="005959C4">
        <w:fldChar w:fldCharType="end"/>
      </w:r>
      <w:r w:rsidR="007151EE" w:rsidRPr="007151EE">
        <w:rPr>
          <w:noProof/>
          <w:lang w:val="nb-NO"/>
        </w:rPr>
        <w:t xml:space="preserve">Morgado &amp; Cerqueira, 2018; </w:t>
      </w:r>
      <w:r w:rsidR="005959C4">
        <w:fldChar w:fldCharType="begin"/>
      </w:r>
      <w:r w:rsidR="005226E4" w:rsidRPr="007151EE">
        <w:rPr>
          <w:lang w:val="nb-NO"/>
        </w:rPr>
        <w:instrText xml:space="preserve"> ADDIN ZOTERO_ITEM CSL_CITATION {"citationID":"B9dG5Wn9","properties":{"formattedCitation":"(Sandi, 2013)","plainCitation":"(Sandi, 2013)","dontUpdate":true,"noteIndex":0},"citationItems":[{"id":195,"uris":["http://zotero.org/users/6938549/items/NT4E32WG"],"uri":["http://zotero.org/users/6938549/items/NT4E32WG"],"itemData":{"id":195,"type":"article-journal","container-title":"Wiley Interdisciplinary Reviews: Cognitive Science","DOI":"10.1002/wcs.1222","ISSN":"19395078","issue":"3","journalAbbreviation":"WIREs Cogn Sci","language":"en","page":"245-261","source":"DOI.org (Crossref)","title":"Stress and cognition: Stress and cognition","title-short":"Stress and cognition","volume":"4","author":[{"family":"Sandi","given":"Carmen"}],"issued":{"date-parts":[["2013",5]]}}}],"schema":"https://github.com/citation-style-language/schema/raw/master/csl-citation.json"} </w:instrText>
      </w:r>
      <w:r w:rsidR="005959C4">
        <w:fldChar w:fldCharType="separate"/>
      </w:r>
      <w:r w:rsidR="005959C4" w:rsidRPr="007151EE">
        <w:rPr>
          <w:noProof/>
          <w:lang w:val="nb-NO"/>
        </w:rPr>
        <w:t>Sandi, 2013)</w:t>
      </w:r>
      <w:r w:rsidR="005959C4">
        <w:fldChar w:fldCharType="end"/>
      </w:r>
      <w:r w:rsidR="007151EE" w:rsidRPr="007151EE">
        <w:rPr>
          <w:lang w:val="nb-NO"/>
        </w:rPr>
        <w:t xml:space="preserve"> </w:t>
      </w:r>
      <w:proofErr w:type="spellStart"/>
      <w:r w:rsidR="005226E4" w:rsidRPr="007151EE">
        <w:rPr>
          <w:lang w:val="nb-NO"/>
        </w:rPr>
        <w:t>Relaxation</w:t>
      </w:r>
      <w:proofErr w:type="spellEnd"/>
      <w:r w:rsidR="005226E4" w:rsidRPr="007151EE">
        <w:rPr>
          <w:lang w:val="nb-NO"/>
        </w:rPr>
        <w:t xml:space="preserve">, in contrast, </w:t>
      </w:r>
      <w:proofErr w:type="spellStart"/>
      <w:r w:rsidR="005226E4" w:rsidRPr="007151EE">
        <w:rPr>
          <w:lang w:val="nb-NO"/>
        </w:rPr>
        <w:t>can</w:t>
      </w:r>
      <w:proofErr w:type="spellEnd"/>
      <w:r w:rsidR="005226E4" w:rsidRPr="007151EE">
        <w:rPr>
          <w:lang w:val="nb-NO"/>
        </w:rPr>
        <w:t xml:space="preserve"> </w:t>
      </w:r>
      <w:proofErr w:type="spellStart"/>
      <w:r w:rsidR="005226E4" w:rsidRPr="007151EE">
        <w:rPr>
          <w:lang w:val="nb-NO"/>
        </w:rPr>
        <w:t>increase</w:t>
      </w:r>
      <w:proofErr w:type="spellEnd"/>
      <w:r w:rsidR="005226E4" w:rsidRPr="007151EE">
        <w:rPr>
          <w:lang w:val="nb-NO"/>
        </w:rPr>
        <w:t xml:space="preserve"> divergent (or </w:t>
      </w:r>
      <w:proofErr w:type="spellStart"/>
      <w:r w:rsidR="005226E4" w:rsidRPr="007151EE">
        <w:rPr>
          <w:lang w:val="nb-NO"/>
        </w:rPr>
        <w:t>creative</w:t>
      </w:r>
      <w:proofErr w:type="spellEnd"/>
      <w:r w:rsidR="005226E4" w:rsidRPr="007151EE">
        <w:rPr>
          <w:lang w:val="nb-NO"/>
        </w:rPr>
        <w:t xml:space="preserve">) </w:t>
      </w:r>
      <w:proofErr w:type="spellStart"/>
      <w:r w:rsidR="005226E4" w:rsidRPr="007151EE">
        <w:rPr>
          <w:lang w:val="nb-NO"/>
        </w:rPr>
        <w:t>thinking</w:t>
      </w:r>
      <w:proofErr w:type="spellEnd"/>
      <w:r w:rsidR="005226E4" w:rsidRPr="007151EE">
        <w:rPr>
          <w:lang w:val="nb-NO"/>
        </w:rPr>
        <w:t xml:space="preserve"> </w:t>
      </w:r>
      <w:r w:rsidR="005226E4">
        <w:fldChar w:fldCharType="begin"/>
      </w:r>
      <w:r w:rsidR="005226E4" w:rsidRPr="007151EE">
        <w:rPr>
          <w:lang w:val="nb-NO"/>
        </w:rPr>
        <w:instrText xml:space="preserve"> ADDIN ZOTERO_ITEM CSL_CITATION {"citationID":"Ys1Ukpyy","properties":{"formattedCitation":"(Meier et al., 2020)","plainCitation":"(Meier et al., 2020)","noteIndex":0},"citationItems":[{"id":211,"uris":["http://zotero.org/users/6938549/items/VCDFSHEL"],"uri":["http://zotero.org/users/6938549/items/VCDFSHEL"],"itemData":{"id":211,"type":"article-journal","abstract":"Cognition is affected by psychophysiological states. While\nthe influence of stress on cognition has </w:instrText>
      </w:r>
      <w:r w:rsidR="005226E4">
        <w:instrText xml:space="preserve">been investigated intensively, less\nstudies have addressed how the opposite of stress, a state of relaxation,\naffects cognition. We investigated whether the extent of parasympathetic\nactivation is positively related to divergent thinking. Sixty healthy female\nparticipants were randomly allocated to a standardized vagus nerve massage\n(n = 19), a standardized soft shoulder massage\n(n = 22), or a resting control group (n =\n19). Subsequently, participants completed the Alternative Uses Test (AUT), a\nmeasure of divergent thinking. Respiratory sinus arrhythmia (RSA), a vagally\nmediated heart rate variability component, was monitored throughout the\nexperiment. The area under the curve with respect to the increase was calculated\nfor RSA trajectories as an indicator of vagal tone during the relaxing\nintervention. Regressions tested the effect of vagal tone on AUT outcomes. We\nfound an association between vagal tone and subsequent AUT outcomes. Yet, this\nassociation was no longer significant when controlling for the effect of the\ncreative potential of an individual, which was strongly related to AUT outcomes.\nBeing exploratory, we found a positive association between creative potential\nand vagal tone. These results imply that creative potential might be related to\nthe capacity to relax.","container-title":"Experimental psychology","DOI":"10.1027/1618-3169/a000483","ISSN":"1618-3169","issue":"2","language":"eng","note":"publisher: Hogrefe Publishing","page":"150–159","source":"uosc.primo.exlibrisgroup.com","title":"The Opposite of Stress: The Relationship Between Vagal Tone, Creativity, and Divergent Thinking","title-short":"The Opposite of Stress","volume":"67","author":[{"family":"Meier","given":"Maria"},{"family":"Unternaehrer","given":"Eva"},{"family":"Schorpp","given":"Sabine M."},{"family":"Wenzel","given":"Maya"},{"family":"Benz","given":"Annika"},{"family":"Bentele","given":"Ulrike U."},{"family":"Dimitroff","given":"Stephanie J."},{"family":"Denk","given":"Bernadette"},{"family":"Prüssner","given":"Jens C."}],"issued":{"date-parts":[["2020"]]}}}],"schema":"https://github.com/citation-style-language/schema/raw/master/csl-citation.json"} </w:instrText>
      </w:r>
      <w:r w:rsidR="005226E4">
        <w:fldChar w:fldCharType="separate"/>
      </w:r>
      <w:r w:rsidR="005226E4">
        <w:rPr>
          <w:noProof/>
        </w:rPr>
        <w:t>(Meier et al., 2020)</w:t>
      </w:r>
      <w:r w:rsidR="005226E4">
        <w:fldChar w:fldCharType="end"/>
      </w:r>
      <w:r w:rsidR="005226E4">
        <w:t>.</w:t>
      </w:r>
    </w:p>
    <w:p w14:paraId="3F08EFBA" w14:textId="08D70417" w:rsidR="00B3480A" w:rsidRDefault="00B3480A" w:rsidP="005226E4">
      <w:pPr>
        <w:pStyle w:val="BodyText"/>
      </w:pPr>
      <w:r>
        <w:t xml:space="preserve">Academic-related stress has also been correlated with long-term effects such as impaired mental health, substance abuse, poor sleep </w:t>
      </w:r>
      <w:r>
        <w:fldChar w:fldCharType="begin"/>
      </w:r>
      <w:r>
        <w:instrText xml:space="preserve"> ADDIN ZOTERO_ITEM CSL_CITATION {"citationID":"D6icPfPQ","properties":{"formattedCitation":"(Pascoe et al., 2020)","plainCitation":"(Pascoe et al., 2020)","noteIndex":0},"citationItems":[{"id":216,"uris":["http://zotero.org/users/6938549/items/5Q2ZCWZX"],"uri":["http://zotero.org/users/6938549/items/5Q2ZCWZX"],"itemData":{"id":216,"type":"article-journal","abstract":"Students in secondary and tertiary education settings face a wide range of ongoing stressors related to academic demands. Previous research indicates that academic-related stress can reduce academic achievement, decrease motivation and increase the risk of school dropout. The longer-term impacts, which include reduced likelihood of sustainable employment, cost Governments billions of dollars each year. This narrative review presents the most recent research concerning the impact of academic-related stress, including discussion of the impact on students’ learning capacity and academic performance, mental health problems, such as depression and anxiety, sleep disturbances and substance use.","container-title":"International Journal of Adolescence and Youth","DOI":"10.1080/02673843.2019.1596823","ISSN":"0267-3843","issue":"1","note":"publisher: Routledge\n_eprint: https://doi.org/10.1080/02673843.2019.1596823","page":"104-112","source":"Taylor and Francis+NEJM","title":"The impact of stress on students in secondary school and higher education","volume":"25","author":[{"family":"Pascoe","given":"Michaela C."},{"family":"Hetrick","given":"Sarah E."},{"family":"Parker","given":"Alexandra G."}],"issued":{"date-parts":[["2020",12,31]]}}}],"schema":"https://github.com/citation-style-language/schema/raw/master/csl-citation.json"} </w:instrText>
      </w:r>
      <w:r>
        <w:fldChar w:fldCharType="separate"/>
      </w:r>
      <w:r>
        <w:rPr>
          <w:noProof/>
        </w:rPr>
        <w:t>(Pascoe et al., 2020)</w:t>
      </w:r>
      <w:r>
        <w:fldChar w:fldCharType="end"/>
      </w:r>
      <w:r>
        <w:t xml:space="preserve">, and reduced overall quality of life </w:t>
      </w:r>
      <w:r>
        <w:fldChar w:fldCharType="begin"/>
      </w:r>
      <w:r>
        <w:instrText xml:space="preserve"> ADDIN ZOTERO_ITEM CSL_CITATION {"citationID":"lbJwxtPH","properties":{"formattedCitation":"(Ribeiro et al., 2018)","plainCitation":"(Ribeiro et al., 2018)","noteIndex":0},"citationItems":[{"id":219,"uris":["http://zotero.org/users/6938549/items/R47LBIGP"],"uri":["http://zotero.org/users/6938549/items/R47LBIGP"],"itemData":{"id":219,"type":"article-journal","abstract":"Purpose\nExcessive and continuous stress has effects that go beyond mere health commitment, by triggering various diseases, and it is well stablish that this stress-related somatic events can affect the quality of life. Based on the exposed, the following questions were raised: There is association between quality of life and stress level in university students? What are the potential variables that influences this association? Therefore, this research aimed to analyze recent scientific productions about stress and quality of life in university students.\nMethods\nA systematic review was conducted on the recent scientific production (i.e., published papers along the last five (5) years) in Scopus, Web of Science, Science Direct, PubMed and Virtual Health Library (BVS). For this it was used the following search terms: \"quality of life\", restricted to the title, \"Stress\" and \"students\" in the title, abstract or keywords, all entered in a single search and connected by the Boolean operator \"AND\".\nResults\nThis study identified 142 articles in the scientific literature, but only 13 articles were classified as eligible according to the previously established criteria, highlighting the lack of studies that address the theme under investigation. Among these, quality of life was frequently negatively associated to stress and factors as insomnia and burnout were also associated with its deterioration.\nDiscussion\nThis systematic review highlights the negative association between stress and QoL in university students, through the deterioration of various aspects related to physical and mental health.","container-title":"Health Professions Education","DOI":"10.1016/j.hpe.2017.03.002","ISSN":"2452-3011","issue":"2","journalAbbreviation":"Health Professions Education","language":"en","page":"70-77","source":"ScienceDirect","title":"Stress and Quality of Life Among University Students: A Systematic Literature Review","title-short":"Stress and Quality of Life Among University Students","volume":"4","author":[{"family":"Ribeiro","given":"Ícaro J. S."},{"family":"Pereira","given":"Rafael"},{"family":"Freire","given":"Ivna V."},{"family":"Oliveira","given":"Bruno G.","non-dropping-particle":"de"},{"family":"Casotti","given":"Cezar A."},{"family":"Boery","given":"Eduardo N."}],"issued":{"date-parts":[["2018",6,1]]}}}],"schema":"https://github.com/citation-style-language/schema/raw/master/csl-citation.json"} </w:instrText>
      </w:r>
      <w:r>
        <w:fldChar w:fldCharType="separate"/>
      </w:r>
      <w:r>
        <w:rPr>
          <w:noProof/>
        </w:rPr>
        <w:t>(Ribeiro et al., 2018)</w:t>
      </w:r>
      <w:r>
        <w:fldChar w:fldCharType="end"/>
      </w:r>
      <w:r>
        <w:t>.</w:t>
      </w:r>
    </w:p>
    <w:p w14:paraId="07343285" w14:textId="57A72437" w:rsidR="00613DBF" w:rsidRDefault="0027605D" w:rsidP="005B317D">
      <w:pPr>
        <w:pStyle w:val="BodyText"/>
      </w:pPr>
      <w:r>
        <w:t>S</w:t>
      </w:r>
      <w:r w:rsidR="009B424F">
        <w:t>ince s</w:t>
      </w:r>
      <w:r>
        <w:t>tudents’ trauma can interfere with their achievement of course learning objectives, diminishing the effects of trauma is one tool for achieving our instructional goals.</w:t>
      </w:r>
      <w:r w:rsidR="00D341EF">
        <w:t xml:space="preserve"> Of course, instructors cannot know all the traumas or stressors experienced by students, and the events that trigger individual students’ traumas are sometimes unpredictable. Trauma-informed </w:t>
      </w:r>
      <w:r w:rsidR="00D341EF">
        <w:lastRenderedPageBreak/>
        <w:t>teaching therefore comprises a set of techniques and strategies aimed toward reducing unproductive stress and trauma in all students.</w:t>
      </w:r>
    </w:p>
    <w:p w14:paraId="4798CF3D" w14:textId="3EE18B9C" w:rsidR="00D37528" w:rsidRPr="00D37528" w:rsidRDefault="00D341EF" w:rsidP="00D37528">
      <w:pPr>
        <w:pStyle w:val="Heading3"/>
      </w:pPr>
      <w:r>
        <w:t>Trauma-informed teaching practices</w:t>
      </w:r>
    </w:p>
    <w:p w14:paraId="24A9E101" w14:textId="70585FB9" w:rsidR="00D341EF" w:rsidRDefault="00422C21" w:rsidP="00422C21">
      <w:pPr>
        <w:pStyle w:val="Heading4"/>
      </w:pPr>
      <w:r>
        <w:t>Promote community and belonging</w:t>
      </w:r>
    </w:p>
    <w:p w14:paraId="16A2890E" w14:textId="08009351" w:rsidR="00422C21" w:rsidRDefault="00422C21" w:rsidP="005B317D">
      <w:pPr>
        <w:pStyle w:val="BodyText"/>
      </w:pPr>
      <w:r>
        <w:t>Encouraging a feeling of connection between a student and their instructor and peers can counterbalance feelings of disconnection and isolation from trauma.</w:t>
      </w:r>
    </w:p>
    <w:p w14:paraId="4E4E2537" w14:textId="77777777" w:rsidR="006D0A8F" w:rsidRDefault="00422C21" w:rsidP="00D90306">
      <w:pPr>
        <w:pStyle w:val="Bulletlist1"/>
      </w:pPr>
      <w:r>
        <w:t>Explicitly discuss the importance of working together as a learning community.</w:t>
      </w:r>
      <w:r w:rsidR="00527E5D">
        <w:t xml:space="preserve"> </w:t>
      </w:r>
    </w:p>
    <w:p w14:paraId="19203729" w14:textId="1B05F329" w:rsidR="00422C21" w:rsidRDefault="00527E5D" w:rsidP="00D90306">
      <w:pPr>
        <w:pStyle w:val="Bulletlist1"/>
      </w:pPr>
      <w:r>
        <w:t>Declare your intention to create an inclusive learning environment.</w:t>
      </w:r>
    </w:p>
    <w:p w14:paraId="5DBAF264" w14:textId="74F3AE1D" w:rsidR="00422C21" w:rsidRDefault="00422C21" w:rsidP="00D90306">
      <w:pPr>
        <w:pStyle w:val="Bulletlist1"/>
      </w:pPr>
      <w:r>
        <w:t>Be personable with students. Demonstrate professionally-appropriate interest in students’ lives and concerns.</w:t>
      </w:r>
    </w:p>
    <w:p w14:paraId="436B8C44" w14:textId="0FE7C941" w:rsidR="00422C21" w:rsidRDefault="00422C21" w:rsidP="00D90306">
      <w:pPr>
        <w:pStyle w:val="Bulletlist1"/>
      </w:pPr>
      <w:r>
        <w:t>Plan opportunities for students to get to know each other, such as through icebreakers,</w:t>
      </w:r>
      <w:r w:rsidR="00DE7D10">
        <w:t xml:space="preserve"> </w:t>
      </w:r>
      <w:r>
        <w:t>small-group activities, and group projects.</w:t>
      </w:r>
    </w:p>
    <w:p w14:paraId="0D90D185" w14:textId="76C1F215" w:rsidR="00422C21" w:rsidRDefault="00527E5D" w:rsidP="00D90306">
      <w:pPr>
        <w:pStyle w:val="Bulletlist1"/>
      </w:pPr>
      <w:r>
        <w:t xml:space="preserve">Use students’ names in class and ask students how to correctly pronounce their names. Use students’ </w:t>
      </w:r>
      <w:r w:rsidR="006D0A8F">
        <w:t>self-identified</w:t>
      </w:r>
      <w:r>
        <w:t xml:space="preserve"> pronouns. Have students display their </w:t>
      </w:r>
      <w:r w:rsidR="006D0A8F">
        <w:t>self-identified</w:t>
      </w:r>
      <w:r>
        <w:t xml:space="preserve"> names and pronouns in their Zoom video feed (for Zoom sessions) or on table tents (in the physical classroom).</w:t>
      </w:r>
    </w:p>
    <w:p w14:paraId="1A52FEF6" w14:textId="168F2CCA" w:rsidR="00527E5D" w:rsidRDefault="00527E5D" w:rsidP="00D90306">
      <w:pPr>
        <w:pStyle w:val="Bulletlist1"/>
      </w:pPr>
      <w:r>
        <w:t>Provide or co-develop a set of behavioral expectations (discussion norms) for your course. CET has resources on discussion norms with suggested wordings. For example, “</w:t>
      </w:r>
      <w:r w:rsidR="006D0A8F" w:rsidRPr="006D0A8F">
        <w:t>Let other people speak. Once you are done speaking, let at least two other people talk before you speak again.</w:t>
      </w:r>
      <w:r>
        <w:t>” and “Criticize ideas, rather than individuals.”</w:t>
      </w:r>
    </w:p>
    <w:p w14:paraId="4D196DB0" w14:textId="1962B8BD" w:rsidR="00527E5D" w:rsidRDefault="00450A67" w:rsidP="00D90306">
      <w:pPr>
        <w:pStyle w:val="Bulletlist1"/>
      </w:pPr>
      <w:r>
        <w:t>Provide a context or process for challenging</w:t>
      </w:r>
      <w:r w:rsidR="00527E5D">
        <w:t xml:space="preserve"> statements that could be considered offensive or harmful to students.</w:t>
      </w:r>
    </w:p>
    <w:p w14:paraId="3753563A" w14:textId="192E146E" w:rsidR="00527E5D" w:rsidRDefault="00527E5D" w:rsidP="00D90306">
      <w:pPr>
        <w:pStyle w:val="Bulletlist1"/>
      </w:pPr>
      <w:r>
        <w:t xml:space="preserve">Allow students to see you </w:t>
      </w:r>
      <w:r w:rsidR="00970729">
        <w:t>acknowledging your own mistakes. Promote a growth mindset, which accepts mistakes as necessary and normal in the path toward improvement.</w:t>
      </w:r>
      <w:r>
        <w:t xml:space="preserve"> </w:t>
      </w:r>
    </w:p>
    <w:p w14:paraId="17D27C0E" w14:textId="0DB5F5FC" w:rsidR="00D90306" w:rsidRDefault="00D90306" w:rsidP="00D90306">
      <w:pPr>
        <w:pStyle w:val="Bulletlist1"/>
      </w:pPr>
      <w:r>
        <w:t>Ask students to reach out if they have a difficulty or concern. Advise students how you want them to contact you outside of class.</w:t>
      </w:r>
      <w:r w:rsidR="00450A67">
        <w:t xml:space="preserve"> </w:t>
      </w:r>
    </w:p>
    <w:p w14:paraId="18AA8BA8" w14:textId="4777C53B" w:rsidR="006D0A8F" w:rsidRDefault="006D0A8F" w:rsidP="006D0A8F">
      <w:pPr>
        <w:pStyle w:val="Bulletlist1"/>
        <w:rPr>
          <w:lang w:eastAsia="zh-CN"/>
        </w:rPr>
      </w:pPr>
      <w:r w:rsidRPr="006D0A8F">
        <w:rPr>
          <w:shd w:val="clear" w:color="auto" w:fill="FFFFFF"/>
          <w:lang w:eastAsia="zh-CN"/>
        </w:rPr>
        <w:t>Offer information on student support services if they are not comfortable coming to you</w:t>
      </w:r>
      <w:r>
        <w:rPr>
          <w:shd w:val="clear" w:color="auto" w:fill="FFFFFF"/>
          <w:lang w:eastAsia="zh-CN"/>
        </w:rPr>
        <w:t xml:space="preserve">, such as </w:t>
      </w:r>
      <w:hyperlink r:id="rId10" w:history="1">
        <w:r w:rsidRPr="006D0A8F">
          <w:rPr>
            <w:rStyle w:val="Hyperlink"/>
            <w:shd w:val="clear" w:color="auto" w:fill="FFFFFF"/>
            <w:lang w:eastAsia="zh-CN"/>
          </w:rPr>
          <w:t>Campus Support and Intervention</w:t>
        </w:r>
      </w:hyperlink>
      <w:r w:rsidRPr="006D0A8F">
        <w:rPr>
          <w:shd w:val="clear" w:color="auto" w:fill="FFFFFF"/>
          <w:lang w:eastAsia="zh-CN"/>
        </w:rPr>
        <w:t xml:space="preserve"> or </w:t>
      </w:r>
      <w:hyperlink r:id="rId11" w:history="1">
        <w:r w:rsidRPr="006D0A8F">
          <w:rPr>
            <w:rStyle w:val="Hyperlink"/>
            <w:shd w:val="clear" w:color="auto" w:fill="FFFFFF"/>
            <w:lang w:eastAsia="zh-CN"/>
          </w:rPr>
          <w:t xml:space="preserve">Office of the </w:t>
        </w:r>
        <w:proofErr w:type="spellStart"/>
        <w:r w:rsidRPr="006D0A8F">
          <w:rPr>
            <w:rStyle w:val="Hyperlink"/>
            <w:shd w:val="clear" w:color="auto" w:fill="FFFFFF"/>
            <w:lang w:eastAsia="zh-CN"/>
          </w:rPr>
          <w:t>Ombuds</w:t>
        </w:r>
        <w:proofErr w:type="spellEnd"/>
      </w:hyperlink>
      <w:r>
        <w:rPr>
          <w:shd w:val="clear" w:color="auto" w:fill="FFFFFF"/>
          <w:lang w:eastAsia="zh-CN"/>
        </w:rPr>
        <w:t>.</w:t>
      </w:r>
    </w:p>
    <w:p w14:paraId="25B95FC0" w14:textId="5A990E42" w:rsidR="00450A67" w:rsidRDefault="00450A67" w:rsidP="00D90306">
      <w:pPr>
        <w:pStyle w:val="Bulletlist1"/>
      </w:pPr>
      <w:r>
        <w:t>Ask for student feedback throughout the semester to proactively identify student concerns.</w:t>
      </w:r>
    </w:p>
    <w:p w14:paraId="699E01D6" w14:textId="6DB5BE74" w:rsidR="00970729" w:rsidRDefault="00970729" w:rsidP="00C0227C">
      <w:pPr>
        <w:pStyle w:val="Heading4"/>
      </w:pPr>
      <w:r>
        <w:t>Provide clarity and transparency</w:t>
      </w:r>
    </w:p>
    <w:p w14:paraId="38C0DF09" w14:textId="22310926" w:rsidR="00970729" w:rsidRDefault="00D37528" w:rsidP="005B317D">
      <w:pPr>
        <w:pStyle w:val="BodyText"/>
      </w:pPr>
      <w:r w:rsidRPr="00D37528">
        <w:t xml:space="preserve">Reduce uncertainty to help foster a sense of safety </w:t>
      </w:r>
      <w:r>
        <w:t>because u</w:t>
      </w:r>
      <w:r w:rsidR="00970729">
        <w:t xml:space="preserve">ncertainty and confusion increase stress. There are some situations in which we want students to manage ambiguity, but otherwise ambiguity interferes with instructional goals. </w:t>
      </w:r>
    </w:p>
    <w:p w14:paraId="4CD871DA" w14:textId="1150F13D" w:rsidR="00970729" w:rsidRDefault="006D0A8F" w:rsidP="00A93344">
      <w:pPr>
        <w:pStyle w:val="Bulletlist1"/>
      </w:pPr>
      <w:r>
        <w:t>Provide an agenda for each</w:t>
      </w:r>
      <w:r w:rsidR="00970729">
        <w:t xml:space="preserve"> class session, including the class</w:t>
      </w:r>
      <w:r>
        <w:t>’s</w:t>
      </w:r>
      <w:r w:rsidR="00970729">
        <w:t xml:space="preserve"> learning objectives.</w:t>
      </w:r>
    </w:p>
    <w:p w14:paraId="7D2AB4F0" w14:textId="050486BF" w:rsidR="00970729" w:rsidRDefault="00D90306" w:rsidP="00A93344">
      <w:pPr>
        <w:pStyle w:val="Bulletlist1"/>
      </w:pPr>
      <w:r>
        <w:lastRenderedPageBreak/>
        <w:t xml:space="preserve">Provide students with detailed assignment descriptions. Use rubrics and provide them with the corresponding assignment descriptions. Rubrics not only help instructors to grade more consistently and </w:t>
      </w:r>
      <w:r w:rsidR="00450A67">
        <w:t>effectively</w:t>
      </w:r>
      <w:r>
        <w:t xml:space="preserve">, but also help guide students toward their best work and allow them to self-assess. </w:t>
      </w:r>
    </w:p>
    <w:p w14:paraId="22B262F5" w14:textId="1210CF6D" w:rsidR="00D90306" w:rsidRDefault="00D90306" w:rsidP="00A93344">
      <w:pPr>
        <w:pStyle w:val="Bulletlist1"/>
      </w:pPr>
      <w:r>
        <w:t>Let students know class topics in advance,</w:t>
      </w:r>
      <w:r w:rsidRPr="00D90306">
        <w:t xml:space="preserve"> </w:t>
      </w:r>
      <w:r>
        <w:t xml:space="preserve">particularly topics that are likely to interact with students’ possible traumas. Some examples: </w:t>
      </w:r>
      <w:r w:rsidR="00C0227C">
        <w:t>racism, rape, assault, disturbing images.</w:t>
      </w:r>
      <w:r w:rsidR="00450A67">
        <w:t xml:space="preserve"> Consider a course, department, or school policy on student requests for opting out of triggering topics.</w:t>
      </w:r>
    </w:p>
    <w:p w14:paraId="5CE66665" w14:textId="41AD7ED8" w:rsidR="00C0227C" w:rsidRDefault="00C0227C" w:rsidP="00A93344">
      <w:pPr>
        <w:pStyle w:val="Bulletlist1"/>
      </w:pPr>
      <w:r>
        <w:t>Include course policies in the syllabus, including policies on late work, missed classes and exams, and use of electronic devices in class.</w:t>
      </w:r>
    </w:p>
    <w:p w14:paraId="37E7FBFC" w14:textId="0C585DCB" w:rsidR="00C0227C" w:rsidRDefault="00C0227C" w:rsidP="00A93344">
      <w:pPr>
        <w:pStyle w:val="Bulletlist1"/>
      </w:pPr>
      <w:r>
        <w:t>Include links to campus resources in the syllabus.</w:t>
      </w:r>
      <w:r w:rsidR="00450A67">
        <w:t xml:space="preserve"> The last section of </w:t>
      </w:r>
      <w:hyperlink r:id="rId12" w:history="1">
        <w:r w:rsidR="00450A67" w:rsidRPr="00450A67">
          <w:rPr>
            <w:rStyle w:val="Hyperlink"/>
          </w:rPr>
          <w:t>the Curriculum Coordination Office’s syllabus template</w:t>
        </w:r>
      </w:hyperlink>
      <w:r w:rsidR="00450A67">
        <w:t xml:space="preserve"> provides the most up-to-date support listings. Remind students of </w:t>
      </w:r>
      <w:hyperlink r:id="rId13" w:history="1">
        <w:r w:rsidR="00450A67" w:rsidRPr="00450A67">
          <w:rPr>
            <w:rStyle w:val="Hyperlink"/>
          </w:rPr>
          <w:t>available campus resources</w:t>
        </w:r>
      </w:hyperlink>
      <w:r w:rsidR="00450A67">
        <w:t xml:space="preserve"> throughout the semester.</w:t>
      </w:r>
    </w:p>
    <w:p w14:paraId="293FE0EA" w14:textId="29A2DE82" w:rsidR="00C0227C" w:rsidRDefault="00C0227C" w:rsidP="00A93344">
      <w:pPr>
        <w:pStyle w:val="Heading4"/>
      </w:pPr>
      <w:r>
        <w:t>Offer flexibility</w:t>
      </w:r>
    </w:p>
    <w:p w14:paraId="683EE269" w14:textId="694361DD" w:rsidR="001E16DD" w:rsidRPr="001E16DD" w:rsidRDefault="001E16DD" w:rsidP="001E16DD">
      <w:pPr>
        <w:pStyle w:val="BodyText"/>
      </w:pPr>
      <w:r>
        <w:t>Students experiencing trauma or stress may respond unpredictably.</w:t>
      </w:r>
      <w:r w:rsidR="00032A82">
        <w:t xml:space="preserve"> Providing students options and autonomy can help them navigate through traumatic periods while also maintaining educational goals.</w:t>
      </w:r>
    </w:p>
    <w:p w14:paraId="6D4884A2" w14:textId="08A17E48" w:rsidR="00A93344" w:rsidRDefault="00A93344" w:rsidP="00A93344">
      <w:pPr>
        <w:pStyle w:val="Bulletlist1"/>
      </w:pPr>
      <w:r>
        <w:t xml:space="preserve">Provide students autonomy when appropriate and consistent with instructional goals. </w:t>
      </w:r>
      <w:r w:rsidR="00032A82">
        <w:t>Example: provide an asynchronous alternative to in-person class attendance.</w:t>
      </w:r>
    </w:p>
    <w:p w14:paraId="4CEE1478" w14:textId="416C2808" w:rsidR="00C0227C" w:rsidRDefault="00C0227C" w:rsidP="00A93344">
      <w:pPr>
        <w:pStyle w:val="Bulletlist1"/>
      </w:pPr>
      <w:r>
        <w:t>Create a policy allowing students to “drop” a specific number of grades, such as for in-class work, assignments, or quizzes</w:t>
      </w:r>
      <w:r w:rsidR="00A93344">
        <w:t>, without justification.</w:t>
      </w:r>
    </w:p>
    <w:p w14:paraId="5537CB1B" w14:textId="46D6B395" w:rsidR="001E16DD" w:rsidRDefault="00A93344" w:rsidP="001E16DD">
      <w:pPr>
        <w:pStyle w:val="Bulletlist1"/>
      </w:pPr>
      <w:r>
        <w:t>Allow students choice in assignments. Example: allow students to submit work in their choice of medium (essay, video, PowerPoint, podcast) if the medium is not the focus of the assignment.</w:t>
      </w:r>
      <w:r w:rsidR="00F85B01">
        <w:t xml:space="preserve"> </w:t>
      </w:r>
      <w:r>
        <w:t xml:space="preserve">Example: let students choose their specific </w:t>
      </w:r>
      <w:r w:rsidR="00032A82">
        <w:t>essay</w:t>
      </w:r>
      <w:r>
        <w:t xml:space="preserve"> topic within a set of options or with your approval.</w:t>
      </w:r>
    </w:p>
    <w:p w14:paraId="1CD29BC8" w14:textId="422C8370" w:rsidR="00A93344" w:rsidRDefault="001E16DD" w:rsidP="001E16DD">
      <w:pPr>
        <w:pStyle w:val="Bulletlist1"/>
      </w:pPr>
      <w:r>
        <w:t xml:space="preserve">Encourage students to share with you official accommodation letters from </w:t>
      </w:r>
      <w:r w:rsidR="006D0A8F">
        <w:t>the Office of Student Accessibility Services (OSAS)</w:t>
      </w:r>
      <w:r>
        <w:t xml:space="preserve">, and ask students to contact </w:t>
      </w:r>
      <w:r w:rsidR="006D0A8F">
        <w:t>OSAS</w:t>
      </w:r>
      <w:r>
        <w:t xml:space="preserve"> if they require accommodations. Comply fully with all </w:t>
      </w:r>
      <w:r w:rsidR="006D0A8F">
        <w:t>OSAS</w:t>
      </w:r>
      <w:r>
        <w:t xml:space="preserve"> accommodation letters.</w:t>
      </w:r>
    </w:p>
    <w:p w14:paraId="7C158C8D" w14:textId="5EFEE85B" w:rsidR="00DE7D10" w:rsidRPr="00DE7D10" w:rsidRDefault="00DE7D10" w:rsidP="00DE7D10">
      <w:pPr>
        <w:pStyle w:val="Heading3"/>
        <w:rPr>
          <w:lang w:val="es-US"/>
        </w:rPr>
      </w:pPr>
      <w:proofErr w:type="spellStart"/>
      <w:r w:rsidRPr="00DE7D10">
        <w:rPr>
          <w:lang w:val="es-US"/>
        </w:rPr>
        <w:t>Res</w:t>
      </w:r>
      <w:r>
        <w:rPr>
          <w:lang w:val="es-US"/>
        </w:rPr>
        <w:t>ources</w:t>
      </w:r>
      <w:proofErr w:type="spellEnd"/>
    </w:p>
    <w:p w14:paraId="5E6A91ED" w14:textId="77777777" w:rsidR="00B3480A" w:rsidRPr="00B3480A" w:rsidRDefault="00D46D6D" w:rsidP="009B424F">
      <w:pPr>
        <w:pStyle w:val="Bibliography"/>
        <w:spacing w:line="276" w:lineRule="auto"/>
        <w:rPr>
          <w:rFonts w:ascii="Calibri" w:hAnsi="Calibri" w:cs="Calibri"/>
          <w:color w:val="000000"/>
        </w:rPr>
      </w:pPr>
      <w:r>
        <w:fldChar w:fldCharType="begin"/>
      </w:r>
      <w:r w:rsidRPr="001E16DD">
        <w:instrText xml:space="preserve"> ADDIN ZOTERO_BIBL {"uncited":[],"omitted":[],"custom":[]} CSL_BIBLIOGRAPHY </w:instrText>
      </w:r>
      <w:r>
        <w:fldChar w:fldCharType="separate"/>
      </w:r>
      <w:r w:rsidR="00B3480A" w:rsidRPr="00B3480A">
        <w:rPr>
          <w:rFonts w:ascii="Calibri" w:hAnsi="Calibri" w:cs="Calibri"/>
          <w:color w:val="000000"/>
        </w:rPr>
        <w:t xml:space="preserve">Cibrian-Llanderal, T., &amp; Hernandez-Baltazar, M. M.-G. and D. (2018). Stress and Cognition: Psychological Basis and Support Resources. In </w:t>
      </w:r>
      <w:r w:rsidR="00B3480A" w:rsidRPr="00B3480A">
        <w:rPr>
          <w:rFonts w:ascii="Calibri" w:hAnsi="Calibri" w:cs="Calibri"/>
          <w:i/>
          <w:iCs/>
          <w:color w:val="000000"/>
        </w:rPr>
        <w:t>Health and Academic Achievement</w:t>
      </w:r>
      <w:r w:rsidR="00B3480A" w:rsidRPr="00B3480A">
        <w:rPr>
          <w:rFonts w:ascii="Calibri" w:hAnsi="Calibri" w:cs="Calibri"/>
          <w:color w:val="000000"/>
        </w:rPr>
        <w:t>. IntechOpen. https://doi.org/10.5772/intechopen.72566</w:t>
      </w:r>
    </w:p>
    <w:p w14:paraId="396D16A0" w14:textId="77777777" w:rsidR="00B3480A" w:rsidRPr="00B3480A" w:rsidRDefault="00B3480A" w:rsidP="009B424F">
      <w:pPr>
        <w:pStyle w:val="Bibliography"/>
        <w:spacing w:line="276" w:lineRule="auto"/>
        <w:rPr>
          <w:rFonts w:ascii="Calibri" w:hAnsi="Calibri" w:cs="Calibri"/>
          <w:color w:val="000000"/>
        </w:rPr>
      </w:pPr>
      <w:r w:rsidRPr="00B3480A">
        <w:rPr>
          <w:rFonts w:ascii="Calibri" w:hAnsi="Calibri" w:cs="Calibri"/>
          <w:color w:val="000000"/>
        </w:rPr>
        <w:t xml:space="preserve">Domes, G., &amp; Frings, C. (2020). Stress and cognition in humans: Current findings and open questions in experimental psychology. </w:t>
      </w:r>
      <w:r w:rsidRPr="00B3480A">
        <w:rPr>
          <w:rFonts w:ascii="Calibri" w:hAnsi="Calibri" w:cs="Calibri"/>
          <w:i/>
          <w:iCs/>
          <w:color w:val="000000"/>
        </w:rPr>
        <w:t>Experimental Psychology</w:t>
      </w:r>
      <w:r w:rsidRPr="00B3480A">
        <w:rPr>
          <w:rFonts w:ascii="Calibri" w:hAnsi="Calibri" w:cs="Calibri"/>
          <w:color w:val="000000"/>
        </w:rPr>
        <w:t xml:space="preserve">, </w:t>
      </w:r>
      <w:r w:rsidRPr="00B3480A">
        <w:rPr>
          <w:rFonts w:ascii="Calibri" w:hAnsi="Calibri" w:cs="Calibri"/>
          <w:i/>
          <w:iCs/>
          <w:color w:val="000000"/>
        </w:rPr>
        <w:t>67</w:t>
      </w:r>
      <w:r w:rsidRPr="00B3480A">
        <w:rPr>
          <w:rFonts w:ascii="Calibri" w:hAnsi="Calibri" w:cs="Calibri"/>
          <w:color w:val="000000"/>
        </w:rPr>
        <w:t>(2), 73–76. http://dx.doi.org.libproxy2.usc.edu/10.1027/1618-3169/a000476</w:t>
      </w:r>
    </w:p>
    <w:p w14:paraId="2909D6B0" w14:textId="77777777" w:rsidR="00B3480A" w:rsidRPr="00B3480A" w:rsidRDefault="00B3480A" w:rsidP="009B424F">
      <w:pPr>
        <w:pStyle w:val="Bibliography"/>
        <w:spacing w:line="276" w:lineRule="auto"/>
        <w:rPr>
          <w:rFonts w:ascii="Calibri" w:hAnsi="Calibri" w:cs="Calibri"/>
          <w:color w:val="000000"/>
        </w:rPr>
      </w:pPr>
      <w:r w:rsidRPr="00B3480A">
        <w:rPr>
          <w:rFonts w:ascii="Calibri" w:hAnsi="Calibri" w:cs="Calibri"/>
          <w:color w:val="000000"/>
        </w:rPr>
        <w:t xml:space="preserve">Meier, M., Unternaehrer, E., Schorpp, S. M., Wenzel, M., Benz, A., Bentele, U. U., Dimitroff, S. J., Denk, B., &amp; Prüssner, J. C. (2020). The Opposite of Stress: The Relationship Between </w:t>
      </w:r>
      <w:r w:rsidRPr="00B3480A">
        <w:rPr>
          <w:rFonts w:ascii="Calibri" w:hAnsi="Calibri" w:cs="Calibri"/>
          <w:color w:val="000000"/>
        </w:rPr>
        <w:lastRenderedPageBreak/>
        <w:t xml:space="preserve">Vagal Tone, Creativity, and Divergent Thinking. </w:t>
      </w:r>
      <w:r w:rsidRPr="00B3480A">
        <w:rPr>
          <w:rFonts w:ascii="Calibri" w:hAnsi="Calibri" w:cs="Calibri"/>
          <w:i/>
          <w:iCs/>
          <w:color w:val="000000"/>
        </w:rPr>
        <w:t>Experimental Psychology</w:t>
      </w:r>
      <w:r w:rsidRPr="00B3480A">
        <w:rPr>
          <w:rFonts w:ascii="Calibri" w:hAnsi="Calibri" w:cs="Calibri"/>
          <w:color w:val="000000"/>
        </w:rPr>
        <w:t xml:space="preserve">, </w:t>
      </w:r>
      <w:r w:rsidRPr="00B3480A">
        <w:rPr>
          <w:rFonts w:ascii="Calibri" w:hAnsi="Calibri" w:cs="Calibri"/>
          <w:i/>
          <w:iCs/>
          <w:color w:val="000000"/>
        </w:rPr>
        <w:t>67</w:t>
      </w:r>
      <w:r w:rsidRPr="00B3480A">
        <w:rPr>
          <w:rFonts w:ascii="Calibri" w:hAnsi="Calibri" w:cs="Calibri"/>
          <w:color w:val="000000"/>
        </w:rPr>
        <w:t>(2), 150–159. https://doi.org/10.1027/1618-3169/a000483</w:t>
      </w:r>
    </w:p>
    <w:p w14:paraId="797DDA40" w14:textId="77777777" w:rsidR="00B3480A" w:rsidRPr="00B3480A" w:rsidRDefault="00B3480A" w:rsidP="009B424F">
      <w:pPr>
        <w:pStyle w:val="Bibliography"/>
        <w:spacing w:line="276" w:lineRule="auto"/>
        <w:rPr>
          <w:rFonts w:ascii="Calibri" w:hAnsi="Calibri" w:cs="Calibri"/>
          <w:color w:val="000000"/>
          <w:lang w:val="sv-SE"/>
        </w:rPr>
      </w:pPr>
      <w:r w:rsidRPr="00B3480A">
        <w:rPr>
          <w:rFonts w:ascii="Calibri" w:hAnsi="Calibri" w:cs="Calibri"/>
          <w:color w:val="000000"/>
        </w:rPr>
        <w:t xml:space="preserve">Menakem, R. (2018, September 17). </w:t>
      </w:r>
      <w:r w:rsidRPr="00B3480A">
        <w:rPr>
          <w:rFonts w:ascii="Calibri" w:hAnsi="Calibri" w:cs="Calibri"/>
          <w:i/>
          <w:iCs/>
          <w:color w:val="000000"/>
        </w:rPr>
        <w:t>White Supremacy as a Trauma Response</w:t>
      </w:r>
      <w:r w:rsidRPr="00B3480A">
        <w:rPr>
          <w:rFonts w:ascii="Calibri" w:hAnsi="Calibri" w:cs="Calibri"/>
          <w:color w:val="000000"/>
        </w:rPr>
        <w:t xml:space="preserve">. </w:t>
      </w:r>
      <w:r w:rsidRPr="00B3480A">
        <w:rPr>
          <w:rFonts w:ascii="Calibri" w:hAnsi="Calibri" w:cs="Calibri"/>
          <w:color w:val="000000"/>
          <w:lang w:val="sv-SE"/>
        </w:rPr>
        <w:t>Medium. https://medium.com/@rmenakem/white-supremacy-as-a-trauma-response-ce631b82b975</w:t>
      </w:r>
    </w:p>
    <w:p w14:paraId="6C2AD1EB" w14:textId="77777777" w:rsidR="00B3480A" w:rsidRPr="00B3480A" w:rsidRDefault="00B3480A" w:rsidP="009B424F">
      <w:pPr>
        <w:pStyle w:val="Bibliography"/>
        <w:spacing w:line="276" w:lineRule="auto"/>
        <w:rPr>
          <w:rFonts w:ascii="Calibri" w:hAnsi="Calibri" w:cs="Calibri"/>
          <w:color w:val="000000"/>
        </w:rPr>
      </w:pPr>
      <w:r w:rsidRPr="00B3480A">
        <w:rPr>
          <w:rFonts w:ascii="Calibri" w:hAnsi="Calibri" w:cs="Calibri"/>
          <w:color w:val="000000"/>
          <w:lang w:val="sv-SE"/>
        </w:rPr>
        <w:t xml:space="preserve">Pascoe, M. C., Hetrick, S. E., &amp; Parker, A. G. (2020). </w:t>
      </w:r>
      <w:r w:rsidRPr="00B3480A">
        <w:rPr>
          <w:rFonts w:ascii="Calibri" w:hAnsi="Calibri" w:cs="Calibri"/>
          <w:color w:val="000000"/>
        </w:rPr>
        <w:t xml:space="preserve">The impact of stress on students in secondary school and higher education. </w:t>
      </w:r>
      <w:r w:rsidRPr="00B3480A">
        <w:rPr>
          <w:rFonts w:ascii="Calibri" w:hAnsi="Calibri" w:cs="Calibri"/>
          <w:i/>
          <w:iCs/>
          <w:color w:val="000000"/>
        </w:rPr>
        <w:t>International Journal of Adolescence and Youth</w:t>
      </w:r>
      <w:r w:rsidRPr="00B3480A">
        <w:rPr>
          <w:rFonts w:ascii="Calibri" w:hAnsi="Calibri" w:cs="Calibri"/>
          <w:color w:val="000000"/>
        </w:rPr>
        <w:t xml:space="preserve">, </w:t>
      </w:r>
      <w:r w:rsidRPr="00B3480A">
        <w:rPr>
          <w:rFonts w:ascii="Calibri" w:hAnsi="Calibri" w:cs="Calibri"/>
          <w:i/>
          <w:iCs/>
          <w:color w:val="000000"/>
        </w:rPr>
        <w:t>25</w:t>
      </w:r>
      <w:r w:rsidRPr="00B3480A">
        <w:rPr>
          <w:rFonts w:ascii="Calibri" w:hAnsi="Calibri" w:cs="Calibri"/>
          <w:color w:val="000000"/>
        </w:rPr>
        <w:t>(1), 104–112. https://doi.org/10.1080/02673843.2019.1596823</w:t>
      </w:r>
    </w:p>
    <w:p w14:paraId="41C40A33" w14:textId="77777777" w:rsidR="00B3480A" w:rsidRPr="00B3480A" w:rsidRDefault="00B3480A" w:rsidP="009B424F">
      <w:pPr>
        <w:pStyle w:val="Bibliography"/>
        <w:spacing w:line="276" w:lineRule="auto"/>
        <w:rPr>
          <w:rFonts w:ascii="Calibri" w:hAnsi="Calibri" w:cs="Calibri"/>
          <w:color w:val="000000"/>
        </w:rPr>
      </w:pPr>
      <w:r w:rsidRPr="00B3480A">
        <w:rPr>
          <w:rFonts w:ascii="Calibri" w:hAnsi="Calibri" w:cs="Calibri"/>
          <w:color w:val="000000"/>
        </w:rPr>
        <w:t xml:space="preserve">Ribeiro, Í. J. S., Pereira, R., Freire, I. V., de Oliveira, B. G., Casotti, C. A., &amp; Boery, E. N. (2018). Stress and Quality of Life Among University Students: A Systematic Literature Review. </w:t>
      </w:r>
      <w:r w:rsidRPr="00B3480A">
        <w:rPr>
          <w:rFonts w:ascii="Calibri" w:hAnsi="Calibri" w:cs="Calibri"/>
          <w:i/>
          <w:iCs/>
          <w:color w:val="000000"/>
        </w:rPr>
        <w:t>Health Professions Education</w:t>
      </w:r>
      <w:r w:rsidRPr="00B3480A">
        <w:rPr>
          <w:rFonts w:ascii="Calibri" w:hAnsi="Calibri" w:cs="Calibri"/>
          <w:color w:val="000000"/>
        </w:rPr>
        <w:t xml:space="preserve">, </w:t>
      </w:r>
      <w:r w:rsidRPr="00B3480A">
        <w:rPr>
          <w:rFonts w:ascii="Calibri" w:hAnsi="Calibri" w:cs="Calibri"/>
          <w:i/>
          <w:iCs/>
          <w:color w:val="000000"/>
        </w:rPr>
        <w:t>4</w:t>
      </w:r>
      <w:r w:rsidRPr="00B3480A">
        <w:rPr>
          <w:rFonts w:ascii="Calibri" w:hAnsi="Calibri" w:cs="Calibri"/>
          <w:color w:val="000000"/>
        </w:rPr>
        <w:t>(2), 70–77. https://doi.org/10.1016/j.hpe.2017.03.002</w:t>
      </w:r>
    </w:p>
    <w:p w14:paraId="18C81AAD" w14:textId="77777777" w:rsidR="00B3480A" w:rsidRPr="00B3480A" w:rsidRDefault="00B3480A" w:rsidP="009B424F">
      <w:pPr>
        <w:pStyle w:val="Bibliography"/>
        <w:spacing w:line="276" w:lineRule="auto"/>
        <w:rPr>
          <w:rFonts w:ascii="Calibri" w:hAnsi="Calibri" w:cs="Calibri"/>
          <w:color w:val="000000"/>
        </w:rPr>
      </w:pPr>
      <w:r w:rsidRPr="00B3480A">
        <w:rPr>
          <w:rFonts w:ascii="Calibri" w:hAnsi="Calibri" w:cs="Calibri"/>
          <w:color w:val="000000"/>
        </w:rPr>
        <w:t xml:space="preserve">Sandi, C. (2013). Stress and cognition: Stress and cognition. </w:t>
      </w:r>
      <w:r w:rsidRPr="00B3480A">
        <w:rPr>
          <w:rFonts w:ascii="Calibri" w:hAnsi="Calibri" w:cs="Calibri"/>
          <w:i/>
          <w:iCs/>
          <w:color w:val="000000"/>
        </w:rPr>
        <w:t>Wiley Interdisciplinary Reviews: Cognitive Science</w:t>
      </w:r>
      <w:r w:rsidRPr="00B3480A">
        <w:rPr>
          <w:rFonts w:ascii="Calibri" w:hAnsi="Calibri" w:cs="Calibri"/>
          <w:color w:val="000000"/>
        </w:rPr>
        <w:t xml:space="preserve">, </w:t>
      </w:r>
      <w:r w:rsidRPr="00B3480A">
        <w:rPr>
          <w:rFonts w:ascii="Calibri" w:hAnsi="Calibri" w:cs="Calibri"/>
          <w:i/>
          <w:iCs/>
          <w:color w:val="000000"/>
        </w:rPr>
        <w:t>4</w:t>
      </w:r>
      <w:r w:rsidRPr="00B3480A">
        <w:rPr>
          <w:rFonts w:ascii="Calibri" w:hAnsi="Calibri" w:cs="Calibri"/>
          <w:color w:val="000000"/>
        </w:rPr>
        <w:t>(3), 245–261. https://doi.org/10.1002/wcs.1222</w:t>
      </w:r>
    </w:p>
    <w:p w14:paraId="74766FE9" w14:textId="0CEB3470" w:rsidR="00FC028D" w:rsidRPr="00361028" w:rsidRDefault="00D46D6D" w:rsidP="00FC028D">
      <w:pPr>
        <w:pStyle w:val="BodyText"/>
        <w:spacing w:before="240" w:line="276" w:lineRule="auto"/>
        <w:ind w:left="0"/>
      </w:pPr>
      <w:r>
        <w:fldChar w:fldCharType="end"/>
      </w:r>
      <w:r w:rsidR="00FC028D">
        <w:t>Thanks to Mara Mather, USC Professor of Gerontology, for support in preparation of this document.</w:t>
      </w:r>
    </w:p>
    <w:sectPr w:rsidR="00FC028D" w:rsidRPr="00361028">
      <w:footerReference w:type="first" r:id="rId14"/>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B1254" w14:textId="77777777" w:rsidR="008423F5" w:rsidRDefault="008423F5">
      <w:r>
        <w:separator/>
      </w:r>
    </w:p>
  </w:endnote>
  <w:endnote w:type="continuationSeparator" w:id="0">
    <w:p w14:paraId="2B557A76" w14:textId="77777777" w:rsidR="008423F5" w:rsidRDefault="0084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w:panose1 w:val="020005030000000200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1E2C"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7D135100" w14:textId="77777777" w:rsidR="00B71CD1" w:rsidRDefault="000D6F02">
    <w:r>
      <w:rPr>
        <w:noProof/>
      </w:rPr>
      <w:drawing>
        <wp:inline distT="114300" distB="114300" distL="114300" distR="114300" wp14:anchorId="7EF62823" wp14:editId="446EC246">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7E39" w14:textId="77777777" w:rsidR="008423F5" w:rsidRDefault="008423F5">
      <w:r>
        <w:separator/>
      </w:r>
    </w:p>
  </w:footnote>
  <w:footnote w:type="continuationSeparator" w:id="0">
    <w:p w14:paraId="562DA1AC" w14:textId="77777777" w:rsidR="008423F5" w:rsidRDefault="0084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F9"/>
    <w:rsid w:val="00001DAE"/>
    <w:rsid w:val="00032A82"/>
    <w:rsid w:val="00036BD5"/>
    <w:rsid w:val="000650AB"/>
    <w:rsid w:val="000803A4"/>
    <w:rsid w:val="0008678D"/>
    <w:rsid w:val="00090D3E"/>
    <w:rsid w:val="000A4592"/>
    <w:rsid w:val="000D6F02"/>
    <w:rsid w:val="00101C3F"/>
    <w:rsid w:val="00103126"/>
    <w:rsid w:val="00110AF9"/>
    <w:rsid w:val="00147BD0"/>
    <w:rsid w:val="001506F8"/>
    <w:rsid w:val="00166699"/>
    <w:rsid w:val="00172352"/>
    <w:rsid w:val="00177A62"/>
    <w:rsid w:val="00182BCC"/>
    <w:rsid w:val="001D4ECA"/>
    <w:rsid w:val="001E16DD"/>
    <w:rsid w:val="001F0B8A"/>
    <w:rsid w:val="00203004"/>
    <w:rsid w:val="00216366"/>
    <w:rsid w:val="00247865"/>
    <w:rsid w:val="0027605D"/>
    <w:rsid w:val="00276642"/>
    <w:rsid w:val="00296E72"/>
    <w:rsid w:val="00336E52"/>
    <w:rsid w:val="00337E13"/>
    <w:rsid w:val="00357287"/>
    <w:rsid w:val="00361028"/>
    <w:rsid w:val="00386CF8"/>
    <w:rsid w:val="00396174"/>
    <w:rsid w:val="003C0C6D"/>
    <w:rsid w:val="003D08B7"/>
    <w:rsid w:val="00412410"/>
    <w:rsid w:val="00421613"/>
    <w:rsid w:val="00422C21"/>
    <w:rsid w:val="00425BE2"/>
    <w:rsid w:val="00446333"/>
    <w:rsid w:val="00450A67"/>
    <w:rsid w:val="00454238"/>
    <w:rsid w:val="00457F39"/>
    <w:rsid w:val="00463CD5"/>
    <w:rsid w:val="0048020A"/>
    <w:rsid w:val="00481BF8"/>
    <w:rsid w:val="004A3BA1"/>
    <w:rsid w:val="004B3FE3"/>
    <w:rsid w:val="004F667A"/>
    <w:rsid w:val="005145EC"/>
    <w:rsid w:val="005226E4"/>
    <w:rsid w:val="005246E9"/>
    <w:rsid w:val="00526C3F"/>
    <w:rsid w:val="00527E5D"/>
    <w:rsid w:val="00530AD0"/>
    <w:rsid w:val="0055576D"/>
    <w:rsid w:val="00572B1D"/>
    <w:rsid w:val="00572EDB"/>
    <w:rsid w:val="00580922"/>
    <w:rsid w:val="005959C4"/>
    <w:rsid w:val="005B317D"/>
    <w:rsid w:val="005B3F6C"/>
    <w:rsid w:val="005B7448"/>
    <w:rsid w:val="005C5D42"/>
    <w:rsid w:val="005D3A4E"/>
    <w:rsid w:val="005E790B"/>
    <w:rsid w:val="005F1B72"/>
    <w:rsid w:val="00612F7F"/>
    <w:rsid w:val="00613DBF"/>
    <w:rsid w:val="00614424"/>
    <w:rsid w:val="00630F6B"/>
    <w:rsid w:val="00655A09"/>
    <w:rsid w:val="006661C6"/>
    <w:rsid w:val="00667254"/>
    <w:rsid w:val="00670873"/>
    <w:rsid w:val="00687871"/>
    <w:rsid w:val="00696587"/>
    <w:rsid w:val="006D0A8F"/>
    <w:rsid w:val="0071143C"/>
    <w:rsid w:val="007151EE"/>
    <w:rsid w:val="007220E9"/>
    <w:rsid w:val="00781A9F"/>
    <w:rsid w:val="00782F43"/>
    <w:rsid w:val="00786E8B"/>
    <w:rsid w:val="00796F54"/>
    <w:rsid w:val="007C29DF"/>
    <w:rsid w:val="007E4E36"/>
    <w:rsid w:val="007F6055"/>
    <w:rsid w:val="007F7DF8"/>
    <w:rsid w:val="00814537"/>
    <w:rsid w:val="008423F5"/>
    <w:rsid w:val="0084403C"/>
    <w:rsid w:val="0084634A"/>
    <w:rsid w:val="00873042"/>
    <w:rsid w:val="00881CC3"/>
    <w:rsid w:val="008C1092"/>
    <w:rsid w:val="008E30B9"/>
    <w:rsid w:val="008E7E63"/>
    <w:rsid w:val="00913D0C"/>
    <w:rsid w:val="00943D16"/>
    <w:rsid w:val="00966688"/>
    <w:rsid w:val="00970729"/>
    <w:rsid w:val="00973585"/>
    <w:rsid w:val="009942BF"/>
    <w:rsid w:val="009A48B9"/>
    <w:rsid w:val="009B0FBD"/>
    <w:rsid w:val="009B424F"/>
    <w:rsid w:val="009C4CBC"/>
    <w:rsid w:val="009D2F2C"/>
    <w:rsid w:val="009D6A75"/>
    <w:rsid w:val="009E0911"/>
    <w:rsid w:val="00A273FB"/>
    <w:rsid w:val="00A44B87"/>
    <w:rsid w:val="00A61E96"/>
    <w:rsid w:val="00A63DBD"/>
    <w:rsid w:val="00A7211A"/>
    <w:rsid w:val="00A72BF1"/>
    <w:rsid w:val="00A77517"/>
    <w:rsid w:val="00A847EE"/>
    <w:rsid w:val="00A9054B"/>
    <w:rsid w:val="00A93344"/>
    <w:rsid w:val="00AC2C24"/>
    <w:rsid w:val="00AD3B64"/>
    <w:rsid w:val="00AE4C7B"/>
    <w:rsid w:val="00B1440B"/>
    <w:rsid w:val="00B3480A"/>
    <w:rsid w:val="00B46E52"/>
    <w:rsid w:val="00B668B6"/>
    <w:rsid w:val="00B71CD1"/>
    <w:rsid w:val="00BA00CB"/>
    <w:rsid w:val="00BE7065"/>
    <w:rsid w:val="00BF004C"/>
    <w:rsid w:val="00BF0E1C"/>
    <w:rsid w:val="00BF1CAA"/>
    <w:rsid w:val="00C0227C"/>
    <w:rsid w:val="00C16E84"/>
    <w:rsid w:val="00C2381D"/>
    <w:rsid w:val="00C24BE6"/>
    <w:rsid w:val="00C3702D"/>
    <w:rsid w:val="00C440F9"/>
    <w:rsid w:val="00C96991"/>
    <w:rsid w:val="00CC3ABF"/>
    <w:rsid w:val="00CC785F"/>
    <w:rsid w:val="00D057E1"/>
    <w:rsid w:val="00D20635"/>
    <w:rsid w:val="00D341EF"/>
    <w:rsid w:val="00D37528"/>
    <w:rsid w:val="00D46D6D"/>
    <w:rsid w:val="00D51B58"/>
    <w:rsid w:val="00D637B2"/>
    <w:rsid w:val="00D90306"/>
    <w:rsid w:val="00D9624B"/>
    <w:rsid w:val="00DA6750"/>
    <w:rsid w:val="00DB0FA5"/>
    <w:rsid w:val="00DB1C54"/>
    <w:rsid w:val="00DE047B"/>
    <w:rsid w:val="00DE7D10"/>
    <w:rsid w:val="00E058BD"/>
    <w:rsid w:val="00E21E2C"/>
    <w:rsid w:val="00E65E67"/>
    <w:rsid w:val="00E91E48"/>
    <w:rsid w:val="00EB781B"/>
    <w:rsid w:val="00ED4591"/>
    <w:rsid w:val="00ED77C4"/>
    <w:rsid w:val="00EF4D08"/>
    <w:rsid w:val="00F30D10"/>
    <w:rsid w:val="00F44638"/>
    <w:rsid w:val="00F85B01"/>
    <w:rsid w:val="00F85D29"/>
    <w:rsid w:val="00F93066"/>
    <w:rsid w:val="00FB6A5D"/>
    <w:rsid w:val="00FC028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7509"/>
  <w15:docId w15:val="{6704D31E-E05C-C24B-8DD8-A117FF96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paragraph" w:styleId="Bibliography">
    <w:name w:val="Bibliography"/>
    <w:basedOn w:val="Normal"/>
    <w:next w:val="Normal"/>
    <w:uiPriority w:val="37"/>
    <w:unhideWhenUsed/>
    <w:rsid w:val="00D46D6D"/>
    <w:pPr>
      <w:spacing w:line="480" w:lineRule="auto"/>
      <w:ind w:left="720" w:hanging="720"/>
    </w:pPr>
  </w:style>
  <w:style w:type="character" w:styleId="UnresolvedMention">
    <w:name w:val="Unresolved Mention"/>
    <w:basedOn w:val="DefaultParagraphFont"/>
    <w:uiPriority w:val="99"/>
    <w:semiHidden/>
    <w:unhideWhenUsed/>
    <w:rsid w:val="00DE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40932135">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38918905">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entaffairs.u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r.usc.edu/forms/USC-Syllabus-Template.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buds.u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mpussupport.usc.edu/" TargetMode="External"/><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39</TotalTime>
  <Pages>4</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8</cp:revision>
  <dcterms:created xsi:type="dcterms:W3CDTF">2021-05-17T17:10:00Z</dcterms:created>
  <dcterms:modified xsi:type="dcterms:W3CDTF">2021-08-02T19:46:00Z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id="83wuhaSi"/&gt;&lt;style id="http://www.zotero.org/styles/apa" locale="en-US" hasBibliography="1" bibliographyStyleHasBeenSet="1"/&gt;&lt;prefs&gt;&lt;pref name="fieldType" value="Field"/&gt;&lt;/prefs&gt;&lt;/data&gt;</vt:lpwstr>
  </property>
</Properties>
</file>