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C1ED" w14:textId="77777777" w:rsidR="00276642" w:rsidRDefault="000D6F02" w:rsidP="005B317D">
      <w:pPr>
        <w:pStyle w:val="BodyText"/>
      </w:pPr>
      <w:r>
        <w:rPr>
          <w:noProof/>
        </w:rPr>
        <w:drawing>
          <wp:inline distT="114300" distB="114300" distL="114300" distR="114300" wp14:anchorId="12F92976" wp14:editId="7BB8458B">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0CF980F0" w14:textId="6AF4208A" w:rsidR="00DC1691" w:rsidRDefault="006B0ECC" w:rsidP="00560CA4">
      <w:pPr>
        <w:pStyle w:val="Heading1"/>
        <w:tabs>
          <w:tab w:val="left" w:pos="7160"/>
        </w:tabs>
      </w:pPr>
      <w:r>
        <w:t>Systems for instructor evaluation</w:t>
      </w:r>
      <w:r w:rsidR="00560CA4">
        <w:tab/>
      </w:r>
    </w:p>
    <w:p w14:paraId="1AAEB3D3" w14:textId="7CC85F87" w:rsidR="00DC1691" w:rsidRDefault="00DC1691" w:rsidP="00B34E34">
      <w:pPr>
        <w:pStyle w:val="Heading2"/>
      </w:pPr>
      <w:r>
        <w:t>WHAT IS THIS RESOURCE?</w:t>
      </w:r>
    </w:p>
    <w:p w14:paraId="3B3574B4" w14:textId="15D82EF7" w:rsidR="00DC1691" w:rsidRDefault="00E10D7B" w:rsidP="00DC1691">
      <w:pPr>
        <w:pStyle w:val="BodyText"/>
      </w:pPr>
      <w:r>
        <w:t xml:space="preserve">A selection of literature resources </w:t>
      </w:r>
      <w:r w:rsidR="003A2A6D">
        <w:t xml:space="preserve">discussing </w:t>
      </w:r>
      <w:r w:rsidR="00EB377E">
        <w:t xml:space="preserve">the </w:t>
      </w:r>
      <w:r w:rsidR="006B0ECC">
        <w:t>systems used for instructor evaluation</w:t>
      </w:r>
      <w:r w:rsidR="00DC1691">
        <w:t>.</w:t>
      </w:r>
    </w:p>
    <w:p w14:paraId="48BF663A" w14:textId="77777777"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b/>
          <w:bCs/>
          <w:color w:val="000000"/>
        </w:rPr>
        <w:t>Association of American Universities (2018).</w:t>
      </w:r>
      <w:r w:rsidRPr="00565E10">
        <w:rPr>
          <w:rStyle w:val="apple-converted-space"/>
          <w:rFonts w:asciiTheme="minorHAnsi" w:hAnsiTheme="minorHAnsi" w:cstheme="minorHAnsi"/>
          <w:b/>
          <w:bCs/>
          <w:color w:val="000000"/>
        </w:rPr>
        <w:t> </w:t>
      </w:r>
      <w:r w:rsidRPr="00565E10">
        <w:rPr>
          <w:rFonts w:asciiTheme="minorHAnsi" w:hAnsiTheme="minorHAnsi" w:cstheme="minorHAnsi"/>
          <w:b/>
          <w:bCs/>
          <w:i/>
          <w:iCs/>
          <w:color w:val="000000"/>
        </w:rPr>
        <w:t>AAU Undergraduate STEM Education Initiative</w:t>
      </w:r>
      <w:r w:rsidRPr="00565E10">
        <w:rPr>
          <w:rFonts w:asciiTheme="minorHAnsi" w:hAnsiTheme="minorHAnsi" w:cstheme="minorHAnsi"/>
          <w:b/>
          <w:bCs/>
          <w:color w:val="000000"/>
        </w:rPr>
        <w:t>. Retrieved from</w:t>
      </w:r>
      <w:r w:rsidRPr="00565E10">
        <w:rPr>
          <w:rStyle w:val="apple-converted-space"/>
          <w:rFonts w:asciiTheme="minorHAnsi" w:hAnsiTheme="minorHAnsi" w:cstheme="minorHAnsi"/>
          <w:b/>
          <w:bCs/>
          <w:color w:val="000000"/>
        </w:rPr>
        <w:t> </w:t>
      </w:r>
      <w:hyperlink r:id="rId9" w:history="1">
        <w:r w:rsidRPr="00565E10">
          <w:rPr>
            <w:rStyle w:val="Hyperlink"/>
            <w:rFonts w:asciiTheme="minorHAnsi" w:hAnsiTheme="minorHAnsi" w:cstheme="minorHAnsi"/>
            <w:b/>
            <w:bCs/>
          </w:rPr>
          <w:t>https://www.aau.edu/sites/default/files/AAU-Files/STEM-Education-Initiative/P%26T-Matrix.pdf</w:t>
        </w:r>
      </w:hyperlink>
    </w:p>
    <w:p w14:paraId="2B19B40F" w14:textId="5A33B999"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color w:val="000000"/>
        </w:rPr>
        <w:t>“This matrix is intended to capture strategies campuses are using to incorporate evidence beyond student course evaluation in the summative evaluation of faculty members’ teaching (e.g., promotion and tenure, and annual/merit reviews).”</w:t>
      </w:r>
    </w:p>
    <w:p w14:paraId="141D7499" w14:textId="77777777"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b/>
          <w:bCs/>
          <w:color w:val="000000"/>
        </w:rPr>
        <w:t>Institutional Management in Higher Education (2012).</w:t>
      </w:r>
      <w:r w:rsidRPr="00565E10">
        <w:rPr>
          <w:rStyle w:val="apple-converted-space"/>
          <w:rFonts w:asciiTheme="minorHAnsi" w:hAnsiTheme="minorHAnsi" w:cstheme="minorHAnsi"/>
          <w:b/>
          <w:bCs/>
          <w:color w:val="000000"/>
        </w:rPr>
        <w:t> </w:t>
      </w:r>
      <w:r w:rsidRPr="00565E10">
        <w:rPr>
          <w:rFonts w:asciiTheme="minorHAnsi" w:hAnsiTheme="minorHAnsi" w:cstheme="minorHAnsi"/>
          <w:b/>
          <w:bCs/>
          <w:i/>
          <w:iCs/>
          <w:color w:val="000000"/>
        </w:rPr>
        <w:t>Fostering Quality Teaching in Higher Education: Policies and Practices</w:t>
      </w:r>
      <w:r w:rsidRPr="00565E10">
        <w:rPr>
          <w:rFonts w:asciiTheme="minorHAnsi" w:hAnsiTheme="minorHAnsi" w:cstheme="minorHAnsi"/>
          <w:b/>
          <w:bCs/>
          <w:color w:val="000000"/>
        </w:rPr>
        <w:t>. Retrieved from</w:t>
      </w:r>
      <w:r w:rsidRPr="00565E10">
        <w:rPr>
          <w:rStyle w:val="apple-converted-space"/>
          <w:rFonts w:asciiTheme="minorHAnsi" w:hAnsiTheme="minorHAnsi" w:cstheme="minorHAnsi"/>
          <w:b/>
          <w:bCs/>
          <w:color w:val="000000"/>
        </w:rPr>
        <w:t> </w:t>
      </w:r>
      <w:hyperlink r:id="rId10" w:history="1">
        <w:r w:rsidRPr="00565E10">
          <w:rPr>
            <w:rStyle w:val="Hyperlink"/>
            <w:rFonts w:asciiTheme="minorHAnsi" w:hAnsiTheme="minorHAnsi" w:cstheme="minorHAnsi"/>
            <w:b/>
            <w:bCs/>
          </w:rPr>
          <w:t>https://docs.google.com/viewer?url=http%3A%2F%2Fwww.oktemvardar.com%2Farticles%2FFostering%2520Q.%2520Teching.%2520oecd.imhe%25202012..pdf</w:t>
        </w:r>
      </w:hyperlink>
    </w:p>
    <w:p w14:paraId="5AC992A8" w14:textId="5FAB0C8C"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color w:val="000000"/>
        </w:rPr>
        <w:t>Discusses steps toward promotion of excellence in teaching in the university setting, including development and evaluation. Includes many case studies.</w:t>
      </w:r>
      <w:r w:rsidRPr="00565E10">
        <w:rPr>
          <w:rStyle w:val="apple-converted-space"/>
          <w:rFonts w:asciiTheme="minorHAnsi" w:hAnsiTheme="minorHAnsi" w:cstheme="minorHAnsi"/>
          <w:color w:val="000000"/>
        </w:rPr>
        <w:t> </w:t>
      </w:r>
    </w:p>
    <w:p w14:paraId="020C2687" w14:textId="77777777" w:rsidR="00565E10" w:rsidRPr="00565E10" w:rsidRDefault="00565E10" w:rsidP="00565E10">
      <w:pPr>
        <w:pStyle w:val="NormalWeb"/>
        <w:rPr>
          <w:rFonts w:asciiTheme="minorHAnsi" w:hAnsiTheme="minorHAnsi" w:cstheme="minorHAnsi"/>
          <w:color w:val="000000"/>
        </w:rPr>
      </w:pPr>
      <w:proofErr w:type="spellStart"/>
      <w:r w:rsidRPr="00565E10">
        <w:rPr>
          <w:rFonts w:asciiTheme="minorHAnsi" w:hAnsiTheme="minorHAnsi" w:cstheme="minorHAnsi"/>
          <w:b/>
          <w:bCs/>
          <w:color w:val="000000"/>
        </w:rPr>
        <w:t>Magno</w:t>
      </w:r>
      <w:proofErr w:type="spellEnd"/>
      <w:r w:rsidRPr="00565E10">
        <w:rPr>
          <w:rFonts w:asciiTheme="minorHAnsi" w:hAnsiTheme="minorHAnsi" w:cstheme="minorHAnsi"/>
          <w:b/>
          <w:bCs/>
          <w:color w:val="000000"/>
        </w:rPr>
        <w:t>, C. (2012). Assessing higher education teachers through peer assistance and review.</w:t>
      </w:r>
      <w:r w:rsidRPr="00565E10">
        <w:rPr>
          <w:rStyle w:val="apple-converted-space"/>
          <w:rFonts w:asciiTheme="minorHAnsi" w:hAnsiTheme="minorHAnsi" w:cstheme="minorHAnsi"/>
          <w:b/>
          <w:bCs/>
          <w:color w:val="000000"/>
        </w:rPr>
        <w:t> </w:t>
      </w:r>
      <w:r w:rsidRPr="00565E10">
        <w:rPr>
          <w:rFonts w:asciiTheme="minorHAnsi" w:hAnsiTheme="minorHAnsi" w:cstheme="minorHAnsi"/>
          <w:b/>
          <w:bCs/>
          <w:i/>
          <w:iCs/>
          <w:color w:val="000000"/>
        </w:rPr>
        <w:t>International Journal of Educational and Psychological Assessment</w:t>
      </w:r>
      <w:r w:rsidRPr="00565E10">
        <w:rPr>
          <w:rFonts w:asciiTheme="minorHAnsi" w:hAnsiTheme="minorHAnsi" w:cstheme="minorHAnsi"/>
          <w:b/>
          <w:bCs/>
          <w:color w:val="000000"/>
        </w:rPr>
        <w:t>, 9, 104–120. Retrieved from http://papers.ssrn.com/sol3/papers.cfm?abstract_id=2287173</w:t>
      </w:r>
      <w:r w:rsidRPr="00565E10">
        <w:rPr>
          <w:rStyle w:val="apple-converted-space"/>
          <w:rFonts w:asciiTheme="minorHAnsi" w:hAnsiTheme="minorHAnsi" w:cstheme="minorHAnsi"/>
          <w:b/>
          <w:bCs/>
          <w:color w:val="000000"/>
        </w:rPr>
        <w:t> </w:t>
      </w:r>
    </w:p>
    <w:p w14:paraId="48A0F95E" w14:textId="5D8B16F4"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color w:val="000000"/>
        </w:rPr>
        <w:t>A tool used for peer review of teaching was trialed and tested for statistical reliability and validity.</w:t>
      </w:r>
    </w:p>
    <w:p w14:paraId="628B698E" w14:textId="77777777"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b/>
          <w:bCs/>
          <w:color w:val="000000"/>
        </w:rPr>
        <w:t>Nygaard, C., Courtney, N., &amp; Bartholomew, P. (2013).</w:t>
      </w:r>
      <w:r w:rsidRPr="00565E10">
        <w:rPr>
          <w:rStyle w:val="apple-converted-space"/>
          <w:rFonts w:asciiTheme="minorHAnsi" w:hAnsiTheme="minorHAnsi" w:cstheme="minorHAnsi"/>
          <w:b/>
          <w:bCs/>
          <w:color w:val="000000"/>
        </w:rPr>
        <w:t> </w:t>
      </w:r>
      <w:r w:rsidRPr="00565E10">
        <w:rPr>
          <w:rFonts w:asciiTheme="minorHAnsi" w:hAnsiTheme="minorHAnsi" w:cstheme="minorHAnsi"/>
          <w:b/>
          <w:bCs/>
          <w:i/>
          <w:iCs/>
          <w:color w:val="000000"/>
        </w:rPr>
        <w:t>Quality enhancement of university teaching and learning</w:t>
      </w:r>
      <w:r w:rsidRPr="00565E10">
        <w:rPr>
          <w:rFonts w:asciiTheme="minorHAnsi" w:hAnsiTheme="minorHAnsi" w:cstheme="minorHAnsi"/>
          <w:b/>
          <w:bCs/>
          <w:color w:val="000000"/>
        </w:rPr>
        <w:t xml:space="preserve">. </w:t>
      </w:r>
      <w:proofErr w:type="spellStart"/>
      <w:r w:rsidRPr="00565E10">
        <w:rPr>
          <w:rFonts w:asciiTheme="minorHAnsi" w:hAnsiTheme="minorHAnsi" w:cstheme="minorHAnsi"/>
          <w:b/>
          <w:bCs/>
          <w:color w:val="000000"/>
        </w:rPr>
        <w:t>Faringdon</w:t>
      </w:r>
      <w:proofErr w:type="spellEnd"/>
      <w:r w:rsidRPr="00565E10">
        <w:rPr>
          <w:rFonts w:asciiTheme="minorHAnsi" w:hAnsiTheme="minorHAnsi" w:cstheme="minorHAnsi"/>
          <w:b/>
          <w:bCs/>
          <w:color w:val="000000"/>
        </w:rPr>
        <w:t xml:space="preserve">, </w:t>
      </w:r>
      <w:proofErr w:type="spellStart"/>
      <w:r w:rsidRPr="00565E10">
        <w:rPr>
          <w:rFonts w:asciiTheme="minorHAnsi" w:hAnsiTheme="minorHAnsi" w:cstheme="minorHAnsi"/>
          <w:b/>
          <w:bCs/>
          <w:color w:val="000000"/>
        </w:rPr>
        <w:t>Oxfordshire</w:t>
      </w:r>
      <w:proofErr w:type="spellEnd"/>
      <w:r w:rsidRPr="00565E10">
        <w:rPr>
          <w:rFonts w:asciiTheme="minorHAnsi" w:hAnsiTheme="minorHAnsi" w:cstheme="minorHAnsi"/>
          <w:b/>
          <w:bCs/>
          <w:color w:val="000000"/>
        </w:rPr>
        <w:t>: Libri Publishing.</w:t>
      </w:r>
    </w:p>
    <w:p w14:paraId="2F5FDBDA" w14:textId="3E7C2857"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color w:val="000000"/>
        </w:rPr>
        <w:t>A set of focus questions to guide peer evaluation, with constituents informed by research.</w:t>
      </w:r>
    </w:p>
    <w:p w14:paraId="0B81F8EA" w14:textId="77777777" w:rsidR="00565E10" w:rsidRPr="00565E10" w:rsidRDefault="00565E10" w:rsidP="00565E10">
      <w:pPr>
        <w:pStyle w:val="NormalWeb"/>
        <w:rPr>
          <w:rFonts w:asciiTheme="minorHAnsi" w:hAnsiTheme="minorHAnsi" w:cstheme="minorHAnsi"/>
          <w:color w:val="000000"/>
        </w:rPr>
      </w:pPr>
      <w:r w:rsidRPr="00565E10">
        <w:rPr>
          <w:rStyle w:val="Strong"/>
          <w:rFonts w:asciiTheme="minorHAnsi" w:hAnsiTheme="minorHAnsi" w:cstheme="minorHAnsi"/>
          <w:color w:val="000000"/>
        </w:rPr>
        <w:t>The University of Texas at Austin Faculty Innovation Center (2019).</w:t>
      </w:r>
      <w:r w:rsidRPr="00565E10">
        <w:rPr>
          <w:rStyle w:val="apple-converted-space"/>
          <w:rFonts w:asciiTheme="minorHAnsi" w:hAnsiTheme="minorHAnsi" w:cstheme="minorHAnsi"/>
          <w:b/>
          <w:bCs/>
          <w:color w:val="000000"/>
        </w:rPr>
        <w:t> </w:t>
      </w:r>
      <w:r w:rsidRPr="00565E10">
        <w:rPr>
          <w:rStyle w:val="Emphasis"/>
          <w:rFonts w:asciiTheme="minorHAnsi" w:hAnsiTheme="minorHAnsi" w:cstheme="minorHAnsi"/>
          <w:b/>
          <w:bCs/>
          <w:color w:val="000000"/>
        </w:rPr>
        <w:t>Peer Observation of Teaching</w:t>
      </w:r>
      <w:r w:rsidRPr="00565E10">
        <w:rPr>
          <w:rStyle w:val="Strong"/>
          <w:rFonts w:asciiTheme="minorHAnsi" w:hAnsiTheme="minorHAnsi" w:cstheme="minorHAnsi"/>
          <w:color w:val="000000"/>
        </w:rPr>
        <w:t>. Retrieved from</w:t>
      </w:r>
      <w:r w:rsidRPr="00565E10">
        <w:rPr>
          <w:rStyle w:val="apple-converted-space"/>
          <w:rFonts w:asciiTheme="minorHAnsi" w:hAnsiTheme="minorHAnsi" w:cstheme="minorHAnsi"/>
          <w:b/>
          <w:bCs/>
          <w:color w:val="000000"/>
        </w:rPr>
        <w:t> </w:t>
      </w:r>
      <w:hyperlink r:id="rId11" w:history="1">
        <w:r w:rsidRPr="00565E10">
          <w:rPr>
            <w:rStyle w:val="Hyperlink"/>
            <w:rFonts w:asciiTheme="minorHAnsi" w:hAnsiTheme="minorHAnsi" w:cstheme="minorHAnsi"/>
            <w:b/>
            <w:bCs/>
          </w:rPr>
          <w:t>https://facultyinnovate.utexas.edu/peer-observation</w:t>
        </w:r>
      </w:hyperlink>
    </w:p>
    <w:p w14:paraId="17E63086" w14:textId="05267516"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color w:val="000000"/>
        </w:rPr>
        <w:t>Introduces steps in developing a customized peer review system.</w:t>
      </w:r>
    </w:p>
    <w:p w14:paraId="74E03E5F" w14:textId="77777777" w:rsidR="00565E10"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b/>
          <w:bCs/>
          <w:color w:val="000000"/>
        </w:rPr>
        <w:t xml:space="preserve">Thomas, S., Chie, Q., Abraham, M., Raj, S., &amp; </w:t>
      </w:r>
      <w:proofErr w:type="spellStart"/>
      <w:r w:rsidRPr="00565E10">
        <w:rPr>
          <w:rFonts w:asciiTheme="minorHAnsi" w:hAnsiTheme="minorHAnsi" w:cstheme="minorHAnsi"/>
          <w:b/>
          <w:bCs/>
          <w:color w:val="000000"/>
        </w:rPr>
        <w:t>Beh</w:t>
      </w:r>
      <w:proofErr w:type="spellEnd"/>
      <w:r w:rsidRPr="00565E10">
        <w:rPr>
          <w:rFonts w:asciiTheme="minorHAnsi" w:hAnsiTheme="minorHAnsi" w:cstheme="minorHAnsi"/>
          <w:b/>
          <w:bCs/>
          <w:color w:val="000000"/>
        </w:rPr>
        <w:t xml:space="preserve">, L. (2014). A Qualitative Review of Literature on Peer Review of Teaching in Higher Education: An Application of the SWOT </w:t>
      </w:r>
      <w:r w:rsidRPr="00565E10">
        <w:rPr>
          <w:rFonts w:asciiTheme="minorHAnsi" w:hAnsiTheme="minorHAnsi" w:cstheme="minorHAnsi"/>
          <w:b/>
          <w:bCs/>
          <w:color w:val="000000"/>
        </w:rPr>
        <w:lastRenderedPageBreak/>
        <w:t>Framework.</w:t>
      </w:r>
      <w:r w:rsidRPr="00565E10">
        <w:rPr>
          <w:rStyle w:val="apple-converted-space"/>
          <w:rFonts w:asciiTheme="minorHAnsi" w:hAnsiTheme="minorHAnsi" w:cstheme="minorHAnsi"/>
          <w:b/>
          <w:bCs/>
          <w:color w:val="000000"/>
        </w:rPr>
        <w:t> </w:t>
      </w:r>
      <w:r w:rsidRPr="00565E10">
        <w:rPr>
          <w:rFonts w:asciiTheme="minorHAnsi" w:hAnsiTheme="minorHAnsi" w:cstheme="minorHAnsi"/>
          <w:b/>
          <w:bCs/>
          <w:i/>
          <w:iCs/>
          <w:color w:val="000000"/>
        </w:rPr>
        <w:t>Review of Educational Research, 84</w:t>
      </w:r>
      <w:r w:rsidRPr="00565E10">
        <w:rPr>
          <w:rFonts w:asciiTheme="minorHAnsi" w:hAnsiTheme="minorHAnsi" w:cstheme="minorHAnsi"/>
          <w:b/>
          <w:bCs/>
          <w:color w:val="000000"/>
        </w:rPr>
        <w:t>(1), 112–159.</w:t>
      </w:r>
      <w:r w:rsidRPr="00565E10">
        <w:rPr>
          <w:rStyle w:val="apple-converted-space"/>
          <w:rFonts w:asciiTheme="minorHAnsi" w:hAnsiTheme="minorHAnsi" w:cstheme="minorHAnsi"/>
          <w:b/>
          <w:bCs/>
          <w:color w:val="000000"/>
        </w:rPr>
        <w:t> </w:t>
      </w:r>
      <w:hyperlink r:id="rId12" w:history="1">
        <w:r w:rsidRPr="00565E10">
          <w:rPr>
            <w:rStyle w:val="Hyperlink"/>
            <w:rFonts w:asciiTheme="minorHAnsi" w:hAnsiTheme="minorHAnsi" w:cstheme="minorHAnsi"/>
            <w:b/>
            <w:bCs/>
          </w:rPr>
          <w:t>https://doi.org/10.3102/0034654313499617</w:t>
        </w:r>
      </w:hyperlink>
    </w:p>
    <w:p w14:paraId="2288B0DA" w14:textId="2F667CDF" w:rsidR="00DC1691" w:rsidRPr="00565E10" w:rsidRDefault="00565E10" w:rsidP="00565E10">
      <w:pPr>
        <w:pStyle w:val="NormalWeb"/>
        <w:rPr>
          <w:rFonts w:asciiTheme="minorHAnsi" w:hAnsiTheme="minorHAnsi" w:cstheme="minorHAnsi"/>
          <w:color w:val="000000"/>
        </w:rPr>
      </w:pPr>
      <w:r w:rsidRPr="00565E10">
        <w:rPr>
          <w:rFonts w:asciiTheme="minorHAnsi" w:hAnsiTheme="minorHAnsi" w:cstheme="minorHAnsi"/>
          <w:color w:val="000000"/>
        </w:rPr>
        <w:t>A review and meta-analysis of studies of peer review of teaching. Includes a SWOT analysis of PRT.</w:t>
      </w:r>
    </w:p>
    <w:sectPr w:rsidR="00DC1691" w:rsidRPr="00565E10">
      <w:footerReference w:type="first" r:id="rId1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53B4" w14:textId="77777777" w:rsidR="00B73087" w:rsidRDefault="00B73087">
      <w:r>
        <w:separator/>
      </w:r>
    </w:p>
  </w:endnote>
  <w:endnote w:type="continuationSeparator" w:id="0">
    <w:p w14:paraId="245274C9" w14:textId="77777777" w:rsidR="00B73087" w:rsidRDefault="00B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w:panose1 w:val="020005030000000200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9914"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F1A8961" w14:textId="77777777" w:rsidR="00B71CD1" w:rsidRDefault="000D6F02">
    <w:r>
      <w:rPr>
        <w:noProof/>
      </w:rPr>
      <w:drawing>
        <wp:inline distT="114300" distB="114300" distL="114300" distR="114300" wp14:anchorId="3C7983EF" wp14:editId="1CC74A0F">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A69B" w14:textId="77777777" w:rsidR="00B73087" w:rsidRDefault="00B73087">
      <w:r>
        <w:separator/>
      </w:r>
    </w:p>
  </w:footnote>
  <w:footnote w:type="continuationSeparator" w:id="0">
    <w:p w14:paraId="01381124" w14:textId="77777777" w:rsidR="00B73087" w:rsidRDefault="00B7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91"/>
    <w:rsid w:val="00001DAE"/>
    <w:rsid w:val="00036BD5"/>
    <w:rsid w:val="000650AB"/>
    <w:rsid w:val="000803A4"/>
    <w:rsid w:val="0008678D"/>
    <w:rsid w:val="00090D3E"/>
    <w:rsid w:val="000A4592"/>
    <w:rsid w:val="000B08EC"/>
    <w:rsid w:val="000D6F02"/>
    <w:rsid w:val="00101C3F"/>
    <w:rsid w:val="00103126"/>
    <w:rsid w:val="00147BD0"/>
    <w:rsid w:val="001506F8"/>
    <w:rsid w:val="00166699"/>
    <w:rsid w:val="00172352"/>
    <w:rsid w:val="00177A62"/>
    <w:rsid w:val="00182BCC"/>
    <w:rsid w:val="001A4762"/>
    <w:rsid w:val="001D4ECA"/>
    <w:rsid w:val="00203004"/>
    <w:rsid w:val="00216366"/>
    <w:rsid w:val="00276642"/>
    <w:rsid w:val="00296E72"/>
    <w:rsid w:val="002C70E3"/>
    <w:rsid w:val="0031010C"/>
    <w:rsid w:val="00321015"/>
    <w:rsid w:val="003238B3"/>
    <w:rsid w:val="00336E52"/>
    <w:rsid w:val="00337E13"/>
    <w:rsid w:val="00340963"/>
    <w:rsid w:val="00357287"/>
    <w:rsid w:val="00361028"/>
    <w:rsid w:val="00370819"/>
    <w:rsid w:val="00386CF8"/>
    <w:rsid w:val="003A2A6D"/>
    <w:rsid w:val="003C0C6D"/>
    <w:rsid w:val="003D08B7"/>
    <w:rsid w:val="003D0F88"/>
    <w:rsid w:val="00412410"/>
    <w:rsid w:val="00421613"/>
    <w:rsid w:val="00425BE2"/>
    <w:rsid w:val="00446333"/>
    <w:rsid w:val="00454238"/>
    <w:rsid w:val="00457F39"/>
    <w:rsid w:val="00463CD5"/>
    <w:rsid w:val="0048020A"/>
    <w:rsid w:val="004A3BA1"/>
    <w:rsid w:val="004B3FE3"/>
    <w:rsid w:val="004C2C8E"/>
    <w:rsid w:val="004F667A"/>
    <w:rsid w:val="005145EC"/>
    <w:rsid w:val="005246E9"/>
    <w:rsid w:val="00526C3F"/>
    <w:rsid w:val="0055576D"/>
    <w:rsid w:val="00560CA4"/>
    <w:rsid w:val="00565E10"/>
    <w:rsid w:val="00572B1D"/>
    <w:rsid w:val="00572EDB"/>
    <w:rsid w:val="00580922"/>
    <w:rsid w:val="005B317D"/>
    <w:rsid w:val="005B7448"/>
    <w:rsid w:val="005C5D42"/>
    <w:rsid w:val="005E790B"/>
    <w:rsid w:val="005F1B72"/>
    <w:rsid w:val="00612F7F"/>
    <w:rsid w:val="00630F6B"/>
    <w:rsid w:val="00631675"/>
    <w:rsid w:val="00655A09"/>
    <w:rsid w:val="006661C6"/>
    <w:rsid w:val="00667254"/>
    <w:rsid w:val="00670873"/>
    <w:rsid w:val="00687871"/>
    <w:rsid w:val="006A7E85"/>
    <w:rsid w:val="006B0ECC"/>
    <w:rsid w:val="006B31CD"/>
    <w:rsid w:val="0071143C"/>
    <w:rsid w:val="00737D4A"/>
    <w:rsid w:val="00767B86"/>
    <w:rsid w:val="00781A9F"/>
    <w:rsid w:val="00786E8B"/>
    <w:rsid w:val="00796F54"/>
    <w:rsid w:val="007B553F"/>
    <w:rsid w:val="007C29DF"/>
    <w:rsid w:val="007E4E36"/>
    <w:rsid w:val="007F6055"/>
    <w:rsid w:val="00814537"/>
    <w:rsid w:val="0084403C"/>
    <w:rsid w:val="0084634A"/>
    <w:rsid w:val="00881CC3"/>
    <w:rsid w:val="008C1092"/>
    <w:rsid w:val="008E30B9"/>
    <w:rsid w:val="008E7E63"/>
    <w:rsid w:val="00902BFF"/>
    <w:rsid w:val="00913D0C"/>
    <w:rsid w:val="00915578"/>
    <w:rsid w:val="00957BFD"/>
    <w:rsid w:val="009656C3"/>
    <w:rsid w:val="00966688"/>
    <w:rsid w:val="009942BF"/>
    <w:rsid w:val="009A37CF"/>
    <w:rsid w:val="009B0FBD"/>
    <w:rsid w:val="009D6A75"/>
    <w:rsid w:val="009E0911"/>
    <w:rsid w:val="00A273FB"/>
    <w:rsid w:val="00A44B87"/>
    <w:rsid w:val="00A61E96"/>
    <w:rsid w:val="00A63DBD"/>
    <w:rsid w:val="00A673A9"/>
    <w:rsid w:val="00A6774C"/>
    <w:rsid w:val="00A7211A"/>
    <w:rsid w:val="00A77517"/>
    <w:rsid w:val="00A847EE"/>
    <w:rsid w:val="00A9054B"/>
    <w:rsid w:val="00A916DD"/>
    <w:rsid w:val="00AB2AAD"/>
    <w:rsid w:val="00AC2C24"/>
    <w:rsid w:val="00AD1296"/>
    <w:rsid w:val="00AD3B64"/>
    <w:rsid w:val="00AE4C7B"/>
    <w:rsid w:val="00B1440B"/>
    <w:rsid w:val="00B34E34"/>
    <w:rsid w:val="00B46E52"/>
    <w:rsid w:val="00B668B6"/>
    <w:rsid w:val="00B71CD1"/>
    <w:rsid w:val="00B73087"/>
    <w:rsid w:val="00BA00CB"/>
    <w:rsid w:val="00BF004C"/>
    <w:rsid w:val="00BF0E1C"/>
    <w:rsid w:val="00BF1CAA"/>
    <w:rsid w:val="00C14F3D"/>
    <w:rsid w:val="00C16E84"/>
    <w:rsid w:val="00C2381D"/>
    <w:rsid w:val="00C24BE6"/>
    <w:rsid w:val="00C3702D"/>
    <w:rsid w:val="00CC3ABF"/>
    <w:rsid w:val="00D057E1"/>
    <w:rsid w:val="00D20635"/>
    <w:rsid w:val="00D51B58"/>
    <w:rsid w:val="00D9624B"/>
    <w:rsid w:val="00DA6750"/>
    <w:rsid w:val="00DB0FA5"/>
    <w:rsid w:val="00DB1C54"/>
    <w:rsid w:val="00DB7CDF"/>
    <w:rsid w:val="00DC1691"/>
    <w:rsid w:val="00DE047B"/>
    <w:rsid w:val="00DE7B6B"/>
    <w:rsid w:val="00E058BD"/>
    <w:rsid w:val="00E10D7B"/>
    <w:rsid w:val="00E21E2C"/>
    <w:rsid w:val="00E27C12"/>
    <w:rsid w:val="00E36E94"/>
    <w:rsid w:val="00E65E67"/>
    <w:rsid w:val="00E754DF"/>
    <w:rsid w:val="00E91E48"/>
    <w:rsid w:val="00EB377E"/>
    <w:rsid w:val="00EB781B"/>
    <w:rsid w:val="00ED4591"/>
    <w:rsid w:val="00ED77C4"/>
    <w:rsid w:val="00EF4D08"/>
    <w:rsid w:val="00F249CB"/>
    <w:rsid w:val="00F30D10"/>
    <w:rsid w:val="00F44638"/>
    <w:rsid w:val="00F85D29"/>
    <w:rsid w:val="00F93066"/>
    <w:rsid w:val="00FB6A5D"/>
    <w:rsid w:val="00FC5912"/>
    <w:rsid w:val="00FC67B4"/>
    <w:rsid w:val="00FD22A3"/>
    <w:rsid w:val="00FD5718"/>
    <w:rsid w:val="00FF4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F11B"/>
  <w15:docId w15:val="{134E0FB9-8F18-884B-99DA-211E9A4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qFormat/>
    <w:rsid w:val="004B3FE3"/>
    <w:rPr>
      <w:i/>
      <w:iCs/>
    </w:rPr>
  </w:style>
  <w:style w:type="character" w:styleId="UnresolvedMention">
    <w:name w:val="Unresolved Mention"/>
    <w:basedOn w:val="DefaultParagraphFont"/>
    <w:uiPriority w:val="99"/>
    <w:semiHidden/>
    <w:unhideWhenUsed/>
    <w:rsid w:val="00DC1691"/>
    <w:rPr>
      <w:color w:val="605E5C"/>
      <w:shd w:val="clear" w:color="auto" w:fill="E1DFDD"/>
    </w:rPr>
  </w:style>
  <w:style w:type="paragraph" w:styleId="NormalWeb">
    <w:name w:val="Normal (Web)"/>
    <w:basedOn w:val="Normal"/>
    <w:uiPriority w:val="99"/>
    <w:unhideWhenUsed/>
    <w:rsid w:val="00565E10"/>
    <w:pPr>
      <w:spacing w:before="100" w:beforeAutospacing="1" w:after="100" w:afterAutospacing="1"/>
    </w:pPr>
    <w:rPr>
      <w:lang w:eastAsia="zh-CN"/>
    </w:rPr>
  </w:style>
  <w:style w:type="character" w:customStyle="1" w:styleId="apple-converted-space">
    <w:name w:val="apple-converted-space"/>
    <w:basedOn w:val="DefaultParagraphFont"/>
    <w:rsid w:val="0056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382607940">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02/0034654313499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innovate.utexas.edu/peer-observ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s-3A__docs.google.com_viewer-3Furl-3Dhttp-253A-252F-252Fwww.oktemvardar.com-252Farticles-252FFostering-252520Q.-252520Teching.-252520oecd.imhe-2525202012..pdf&amp;d=DwMFaQ&amp;c=clK7kQUTWtAVEOVIgvi0NU5BOUHhpN0H8p7CSfnc_gI&amp;r=l3VGpWTxfvRMUhSEvQj30Q&amp;m=vGXneVbjFyFuSa15fnFL_u61NvrythzizvDO1E_uvFs&amp;s=UpvlAqyyImKXMdF465ZMTlL2M_5yyHu_FZiENSBtRP4&amp;e=" TargetMode="External"/><Relationship Id="rId4" Type="http://schemas.openxmlformats.org/officeDocument/2006/relationships/settings" Target="settings.xml"/><Relationship Id="rId9" Type="http://schemas.openxmlformats.org/officeDocument/2006/relationships/hyperlink" Target="https://www.aau.edu/sites/default/files/AAU-Files/STEM-Education-Initiative/P%26T-Matrix.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4</cp:revision>
  <dcterms:created xsi:type="dcterms:W3CDTF">2021-07-26T19:45:00Z</dcterms:created>
  <dcterms:modified xsi:type="dcterms:W3CDTF">2021-07-26T20:14:00Z</dcterms:modified>
</cp:coreProperties>
</file>