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AC1ED" w14:textId="77777777" w:rsidR="00276642" w:rsidRDefault="000D6F02" w:rsidP="005B317D">
      <w:pPr>
        <w:pStyle w:val="BodyText"/>
      </w:pPr>
      <w:r>
        <w:rPr>
          <w:noProof/>
        </w:rPr>
        <w:drawing>
          <wp:inline distT="114300" distB="114300" distL="114300" distR="114300" wp14:anchorId="12F92976" wp14:editId="7BB8458B">
            <wp:extent cx="3193205" cy="250749"/>
            <wp:effectExtent l="0" t="0" r="0" b="0"/>
            <wp:docPr id="4" name="image1.jpg" descr="USC Center for Excellence in Teach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USC Center for Excellence in Teaching">
                      <a:extLst>
                        <a:ext uri="{C183D7F6-B498-43B3-948B-1728B52AA6E4}">
                          <adec:decorative xmlns:adec="http://schemas.microsoft.com/office/drawing/2017/decorative" val="0"/>
                        </a:ext>
                      </a:extLst>
                    </pic:cNvPr>
                    <pic:cNvPicPr preferRelativeResize="0"/>
                  </pic:nvPicPr>
                  <pic:blipFill>
                    <a:blip r:embed="rId8"/>
                    <a:srcRect/>
                    <a:stretch>
                      <a:fillRect/>
                    </a:stretch>
                  </pic:blipFill>
                  <pic:spPr>
                    <a:xfrm>
                      <a:off x="0" y="0"/>
                      <a:ext cx="3193205" cy="250749"/>
                    </a:xfrm>
                    <a:prstGeom prst="rect">
                      <a:avLst/>
                    </a:prstGeom>
                    <a:ln/>
                  </pic:spPr>
                </pic:pic>
              </a:graphicData>
            </a:graphic>
          </wp:inline>
        </w:drawing>
      </w:r>
    </w:p>
    <w:p w14:paraId="0CF980F0" w14:textId="557A2889" w:rsidR="00DC1691" w:rsidRDefault="003A2A6D" w:rsidP="00560CA4">
      <w:pPr>
        <w:pStyle w:val="Heading1"/>
        <w:tabs>
          <w:tab w:val="left" w:pos="7160"/>
        </w:tabs>
      </w:pPr>
      <w:r>
        <w:t>Defining teaching excellence</w:t>
      </w:r>
      <w:r w:rsidR="00560CA4">
        <w:tab/>
      </w:r>
    </w:p>
    <w:p w14:paraId="1AAEB3D3" w14:textId="7CC85F87" w:rsidR="00DC1691" w:rsidRDefault="00DC1691" w:rsidP="00B34E34">
      <w:pPr>
        <w:pStyle w:val="Heading2"/>
      </w:pPr>
      <w:r>
        <w:t>WHAT IS THIS RESOURCE?</w:t>
      </w:r>
    </w:p>
    <w:p w14:paraId="3B3574B4" w14:textId="432F23F3" w:rsidR="00DC1691" w:rsidRPr="00AA5501" w:rsidRDefault="00E10D7B" w:rsidP="00DC1691">
      <w:pPr>
        <w:pStyle w:val="BodyText"/>
        <w:rPr>
          <w:rFonts w:asciiTheme="minorHAnsi" w:hAnsiTheme="minorHAnsi" w:cstheme="minorHAnsi"/>
        </w:rPr>
      </w:pPr>
      <w:r>
        <w:t xml:space="preserve">A selection of literature resources </w:t>
      </w:r>
      <w:r w:rsidR="003A2A6D">
        <w:t xml:space="preserve">discussing efforts to define what is meant by “teaching </w:t>
      </w:r>
      <w:r w:rsidR="003A2A6D" w:rsidRPr="00AA5501">
        <w:rPr>
          <w:rFonts w:asciiTheme="minorHAnsi" w:hAnsiTheme="minorHAnsi" w:cstheme="minorHAnsi"/>
        </w:rPr>
        <w:t>excellence” at the university level</w:t>
      </w:r>
      <w:r w:rsidR="00DC1691" w:rsidRPr="00AA5501">
        <w:rPr>
          <w:rFonts w:asciiTheme="minorHAnsi" w:hAnsiTheme="minorHAnsi" w:cstheme="minorHAnsi"/>
        </w:rPr>
        <w:t>.</w:t>
      </w:r>
    </w:p>
    <w:p w14:paraId="06892855" w14:textId="77777777" w:rsidR="00AA5501" w:rsidRPr="00AA5501" w:rsidRDefault="00AA5501" w:rsidP="00AA5501">
      <w:pPr>
        <w:pStyle w:val="NormalWeb"/>
        <w:rPr>
          <w:rFonts w:asciiTheme="minorHAnsi" w:hAnsiTheme="minorHAnsi" w:cstheme="minorHAnsi"/>
          <w:color w:val="000000"/>
        </w:rPr>
      </w:pPr>
      <w:r w:rsidRPr="00AA5501">
        <w:rPr>
          <w:rFonts w:asciiTheme="minorHAnsi" w:hAnsiTheme="minorHAnsi" w:cstheme="minorHAnsi"/>
          <w:b/>
          <w:bCs/>
          <w:color w:val="000000"/>
        </w:rPr>
        <w:t xml:space="preserve">Devlin, M., &amp; </w:t>
      </w:r>
      <w:proofErr w:type="spellStart"/>
      <w:r w:rsidRPr="00AA5501">
        <w:rPr>
          <w:rFonts w:asciiTheme="minorHAnsi" w:hAnsiTheme="minorHAnsi" w:cstheme="minorHAnsi"/>
          <w:b/>
          <w:bCs/>
          <w:color w:val="000000"/>
        </w:rPr>
        <w:t>Samarawickrema</w:t>
      </w:r>
      <w:proofErr w:type="spellEnd"/>
      <w:r w:rsidRPr="00AA5501">
        <w:rPr>
          <w:rFonts w:asciiTheme="minorHAnsi" w:hAnsiTheme="minorHAnsi" w:cstheme="minorHAnsi"/>
          <w:b/>
          <w:bCs/>
          <w:color w:val="000000"/>
        </w:rPr>
        <w:t>, G. (2010). The Criteria of Effective Teaching in a Changing Higher Education Context.</w:t>
      </w:r>
      <w:r w:rsidRPr="00AA5501">
        <w:rPr>
          <w:rStyle w:val="apple-converted-space"/>
          <w:rFonts w:asciiTheme="minorHAnsi" w:hAnsiTheme="minorHAnsi" w:cstheme="minorHAnsi"/>
          <w:b/>
          <w:bCs/>
          <w:color w:val="000000"/>
        </w:rPr>
        <w:t> </w:t>
      </w:r>
      <w:r w:rsidRPr="00AA5501">
        <w:rPr>
          <w:rFonts w:asciiTheme="minorHAnsi" w:hAnsiTheme="minorHAnsi" w:cstheme="minorHAnsi"/>
          <w:b/>
          <w:bCs/>
          <w:i/>
          <w:iCs/>
          <w:color w:val="000000"/>
        </w:rPr>
        <w:t>Higher Education Research and Development, 29</w:t>
      </w:r>
      <w:r w:rsidRPr="00AA5501">
        <w:rPr>
          <w:rFonts w:asciiTheme="minorHAnsi" w:hAnsiTheme="minorHAnsi" w:cstheme="minorHAnsi"/>
          <w:b/>
          <w:bCs/>
          <w:color w:val="000000"/>
        </w:rPr>
        <w:t>(2), 111–124.</w:t>
      </w:r>
      <w:r w:rsidRPr="00AA5501">
        <w:rPr>
          <w:rStyle w:val="apple-converted-space"/>
          <w:rFonts w:asciiTheme="minorHAnsi" w:hAnsiTheme="minorHAnsi" w:cstheme="minorHAnsi"/>
          <w:b/>
          <w:bCs/>
          <w:color w:val="000000"/>
        </w:rPr>
        <w:t> </w:t>
      </w:r>
      <w:hyperlink r:id="rId9" w:history="1">
        <w:r w:rsidRPr="00AA5501">
          <w:rPr>
            <w:rStyle w:val="Hyperlink"/>
            <w:rFonts w:asciiTheme="minorHAnsi" w:hAnsiTheme="minorHAnsi" w:cstheme="minorHAnsi"/>
            <w:b/>
            <w:bCs/>
          </w:rPr>
          <w:t>https://doi.org/10.1080/07294360903244398</w:t>
        </w:r>
      </w:hyperlink>
    </w:p>
    <w:p w14:paraId="74816020" w14:textId="20B05DA5" w:rsidR="00AA5501" w:rsidRPr="00AA5501" w:rsidRDefault="00AA5501" w:rsidP="00AA5501">
      <w:pPr>
        <w:pStyle w:val="NormalWeb"/>
        <w:rPr>
          <w:rFonts w:asciiTheme="minorHAnsi" w:hAnsiTheme="minorHAnsi" w:cstheme="minorHAnsi"/>
          <w:color w:val="000000"/>
        </w:rPr>
      </w:pPr>
      <w:r w:rsidRPr="00AA5501">
        <w:rPr>
          <w:rFonts w:asciiTheme="minorHAnsi" w:hAnsiTheme="minorHAnsi" w:cstheme="minorHAnsi"/>
          <w:color w:val="000000"/>
        </w:rPr>
        <w:t>Discusses attempts at defining excellence in teaching; presents the definition devised by the Australian Learning and Teaching Council, and a discussion of its development with many useful references.</w:t>
      </w:r>
    </w:p>
    <w:p w14:paraId="2251AFBA" w14:textId="77777777" w:rsidR="00AA5501" w:rsidRPr="00AA5501" w:rsidRDefault="00AA5501" w:rsidP="00AA5501">
      <w:pPr>
        <w:pStyle w:val="NormalWeb"/>
        <w:rPr>
          <w:rFonts w:asciiTheme="minorHAnsi" w:hAnsiTheme="minorHAnsi" w:cstheme="minorHAnsi"/>
          <w:color w:val="000000"/>
        </w:rPr>
      </w:pPr>
      <w:r w:rsidRPr="00AA5501">
        <w:rPr>
          <w:rFonts w:asciiTheme="minorHAnsi" w:hAnsiTheme="minorHAnsi" w:cstheme="minorHAnsi"/>
          <w:b/>
          <w:bCs/>
          <w:color w:val="000000"/>
          <w:lang w:val="de-DE"/>
        </w:rPr>
        <w:t>Hildebrand, M., Wilson, R., &amp; Dienst, E. (1971).</w:t>
      </w:r>
      <w:r w:rsidRPr="00AA5501">
        <w:rPr>
          <w:rStyle w:val="apple-converted-space"/>
          <w:rFonts w:asciiTheme="minorHAnsi" w:hAnsiTheme="minorHAnsi" w:cstheme="minorHAnsi"/>
          <w:b/>
          <w:bCs/>
          <w:color w:val="000000"/>
          <w:lang w:val="de-DE"/>
        </w:rPr>
        <w:t> </w:t>
      </w:r>
      <w:r w:rsidRPr="00AA5501">
        <w:rPr>
          <w:rFonts w:asciiTheme="minorHAnsi" w:hAnsiTheme="minorHAnsi" w:cstheme="minorHAnsi"/>
          <w:b/>
          <w:bCs/>
          <w:i/>
          <w:iCs/>
          <w:color w:val="000000"/>
        </w:rPr>
        <w:t>Evaluating university teaching</w:t>
      </w:r>
      <w:r w:rsidRPr="00AA5501">
        <w:rPr>
          <w:rFonts w:asciiTheme="minorHAnsi" w:hAnsiTheme="minorHAnsi" w:cstheme="minorHAnsi"/>
          <w:b/>
          <w:bCs/>
          <w:color w:val="000000"/>
        </w:rPr>
        <w:t>. Berkeley: Center for Research and Development in Higher Education, University of California.</w:t>
      </w:r>
    </w:p>
    <w:p w14:paraId="514C5C83" w14:textId="76ED9219" w:rsidR="00AA5501" w:rsidRPr="00AA5501" w:rsidRDefault="00AA5501" w:rsidP="00AA5501">
      <w:pPr>
        <w:pStyle w:val="NormalWeb"/>
        <w:rPr>
          <w:rFonts w:asciiTheme="minorHAnsi" w:hAnsiTheme="minorHAnsi" w:cstheme="minorHAnsi"/>
          <w:color w:val="000000"/>
        </w:rPr>
      </w:pPr>
      <w:r w:rsidRPr="00AA5501">
        <w:rPr>
          <w:rFonts w:asciiTheme="minorHAnsi" w:hAnsiTheme="minorHAnsi" w:cstheme="minorHAnsi"/>
          <w:color w:val="000000"/>
        </w:rPr>
        <w:t>Early attempt to evaluate effective teaching. In this work, a “good teacher” is defined as a teacher who is recognized by students and/or other faculty as a good teacher. Used interviews with students and faculty peers to determine two separate five-component lists of characteristics of a good teacher. They demonstrated that faculty and student evaluations of the quality of individual teachers correlated strongly with each other, although the faculty and students used different criteria to describe what they thought were distinguishing characteristics of a good teacher.</w:t>
      </w:r>
      <w:r w:rsidRPr="00AA5501">
        <w:rPr>
          <w:rStyle w:val="apple-converted-space"/>
          <w:rFonts w:asciiTheme="minorHAnsi" w:hAnsiTheme="minorHAnsi" w:cstheme="minorHAnsi"/>
          <w:color w:val="000000"/>
        </w:rPr>
        <w:t> </w:t>
      </w:r>
    </w:p>
    <w:p w14:paraId="7985EB2C" w14:textId="77777777" w:rsidR="00AA5501" w:rsidRPr="00AA5501" w:rsidRDefault="00AA5501" w:rsidP="00AA5501">
      <w:pPr>
        <w:pStyle w:val="NormalWeb"/>
        <w:rPr>
          <w:rFonts w:asciiTheme="minorHAnsi" w:hAnsiTheme="minorHAnsi" w:cstheme="minorHAnsi"/>
          <w:color w:val="000000"/>
        </w:rPr>
      </w:pPr>
      <w:r w:rsidRPr="00AA5501">
        <w:rPr>
          <w:rFonts w:asciiTheme="minorHAnsi" w:hAnsiTheme="minorHAnsi" w:cstheme="minorHAnsi"/>
          <w:b/>
          <w:bCs/>
          <w:color w:val="000000"/>
          <w:lang w:val="nl-NL"/>
        </w:rPr>
        <w:t xml:space="preserve">Hunt, G., </w:t>
      </w:r>
      <w:proofErr w:type="spellStart"/>
      <w:r w:rsidRPr="00AA5501">
        <w:rPr>
          <w:rFonts w:asciiTheme="minorHAnsi" w:hAnsiTheme="minorHAnsi" w:cstheme="minorHAnsi"/>
          <w:b/>
          <w:bCs/>
          <w:color w:val="000000"/>
          <w:lang w:val="nl-NL"/>
        </w:rPr>
        <w:t>Touzel</w:t>
      </w:r>
      <w:proofErr w:type="spellEnd"/>
      <w:r w:rsidRPr="00AA5501">
        <w:rPr>
          <w:rFonts w:asciiTheme="minorHAnsi" w:hAnsiTheme="minorHAnsi" w:cstheme="minorHAnsi"/>
          <w:b/>
          <w:bCs/>
          <w:color w:val="000000"/>
          <w:lang w:val="nl-NL"/>
        </w:rPr>
        <w:t xml:space="preserve">, T., &amp; </w:t>
      </w:r>
      <w:proofErr w:type="spellStart"/>
      <w:r w:rsidRPr="00AA5501">
        <w:rPr>
          <w:rFonts w:asciiTheme="minorHAnsi" w:hAnsiTheme="minorHAnsi" w:cstheme="minorHAnsi"/>
          <w:b/>
          <w:bCs/>
          <w:color w:val="000000"/>
          <w:lang w:val="nl-NL"/>
        </w:rPr>
        <w:t>Wiseman</w:t>
      </w:r>
      <w:proofErr w:type="spellEnd"/>
      <w:r w:rsidRPr="00AA5501">
        <w:rPr>
          <w:rFonts w:asciiTheme="minorHAnsi" w:hAnsiTheme="minorHAnsi" w:cstheme="minorHAnsi"/>
          <w:b/>
          <w:bCs/>
          <w:color w:val="000000"/>
          <w:lang w:val="nl-NL"/>
        </w:rPr>
        <w:t>, D. (1999).</w:t>
      </w:r>
      <w:r w:rsidRPr="00AA5501">
        <w:rPr>
          <w:rStyle w:val="apple-converted-space"/>
          <w:rFonts w:asciiTheme="minorHAnsi" w:hAnsiTheme="minorHAnsi" w:cstheme="minorHAnsi"/>
          <w:b/>
          <w:bCs/>
          <w:color w:val="000000"/>
          <w:lang w:val="nl-NL"/>
        </w:rPr>
        <w:t> </w:t>
      </w:r>
      <w:r w:rsidRPr="00AA5501">
        <w:rPr>
          <w:rFonts w:asciiTheme="minorHAnsi" w:hAnsiTheme="minorHAnsi" w:cstheme="minorHAnsi"/>
          <w:b/>
          <w:bCs/>
          <w:i/>
          <w:iCs/>
          <w:color w:val="000000"/>
        </w:rPr>
        <w:t>Effective teaching : preparation and implementation</w:t>
      </w:r>
      <w:r w:rsidRPr="00AA5501">
        <w:rPr>
          <w:rStyle w:val="apple-converted-space"/>
          <w:rFonts w:asciiTheme="minorHAnsi" w:hAnsiTheme="minorHAnsi" w:cstheme="minorHAnsi"/>
          <w:b/>
          <w:bCs/>
          <w:color w:val="000000"/>
        </w:rPr>
        <w:t> </w:t>
      </w:r>
      <w:r w:rsidRPr="00AA5501">
        <w:rPr>
          <w:rFonts w:asciiTheme="minorHAnsi" w:hAnsiTheme="minorHAnsi" w:cstheme="minorHAnsi"/>
          <w:b/>
          <w:bCs/>
          <w:color w:val="000000"/>
        </w:rPr>
        <w:t>(3rd ed.). Springfield, Ill.: Charles C. Thomas Publisher.</w:t>
      </w:r>
    </w:p>
    <w:p w14:paraId="2288B0DA" w14:textId="76A626C5" w:rsidR="00DC1691" w:rsidRPr="00AA5501" w:rsidRDefault="00AA5501" w:rsidP="00AA5501">
      <w:pPr>
        <w:pStyle w:val="NormalWeb"/>
        <w:rPr>
          <w:rFonts w:asciiTheme="minorHAnsi" w:hAnsiTheme="minorHAnsi" w:cstheme="minorHAnsi"/>
          <w:color w:val="000000"/>
        </w:rPr>
      </w:pPr>
      <w:r w:rsidRPr="00AA5501">
        <w:rPr>
          <w:rFonts w:asciiTheme="minorHAnsi" w:hAnsiTheme="minorHAnsi" w:cstheme="minorHAnsi"/>
          <w:color w:val="000000"/>
        </w:rPr>
        <w:t>Summary of research on what constitutes effective teaching. (see Chapter 1)</w:t>
      </w:r>
    </w:p>
    <w:sectPr w:rsidR="00DC1691" w:rsidRPr="00AA5501">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B3744" w14:textId="77777777" w:rsidR="00D05B13" w:rsidRDefault="00D05B13">
      <w:r>
        <w:separator/>
      </w:r>
    </w:p>
  </w:endnote>
  <w:endnote w:type="continuationSeparator" w:id="0">
    <w:p w14:paraId="5DCE3610" w14:textId="77777777" w:rsidR="00D05B13" w:rsidRDefault="00D0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
    <w:panose1 w:val="020005030000000200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9914"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F1A8961" w14:textId="77777777" w:rsidR="00B71CD1" w:rsidRDefault="000D6F02">
    <w:r>
      <w:rPr>
        <w:noProof/>
      </w:rPr>
      <w:drawing>
        <wp:inline distT="114300" distB="114300" distL="114300" distR="114300" wp14:anchorId="3C7983EF" wp14:editId="1CC74A0F">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62B82" w14:textId="77777777" w:rsidR="00D05B13" w:rsidRDefault="00D05B13">
      <w:r>
        <w:separator/>
      </w:r>
    </w:p>
  </w:footnote>
  <w:footnote w:type="continuationSeparator" w:id="0">
    <w:p w14:paraId="748A623C" w14:textId="77777777" w:rsidR="00D05B13" w:rsidRDefault="00D0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91"/>
    <w:rsid w:val="00001DAE"/>
    <w:rsid w:val="00036BD5"/>
    <w:rsid w:val="000650AB"/>
    <w:rsid w:val="000803A4"/>
    <w:rsid w:val="0008678D"/>
    <w:rsid w:val="00090D3E"/>
    <w:rsid w:val="000A4592"/>
    <w:rsid w:val="000B08EC"/>
    <w:rsid w:val="000D6F02"/>
    <w:rsid w:val="00101C3F"/>
    <w:rsid w:val="00103126"/>
    <w:rsid w:val="00147BD0"/>
    <w:rsid w:val="001506F8"/>
    <w:rsid w:val="00166699"/>
    <w:rsid w:val="00172352"/>
    <w:rsid w:val="00177A62"/>
    <w:rsid w:val="00182BCC"/>
    <w:rsid w:val="001D4ECA"/>
    <w:rsid w:val="00203004"/>
    <w:rsid w:val="00216366"/>
    <w:rsid w:val="00276642"/>
    <w:rsid w:val="00296E72"/>
    <w:rsid w:val="00336E52"/>
    <w:rsid w:val="00337E13"/>
    <w:rsid w:val="00357287"/>
    <w:rsid w:val="00361028"/>
    <w:rsid w:val="00386CF8"/>
    <w:rsid w:val="00390731"/>
    <w:rsid w:val="003A2A6D"/>
    <w:rsid w:val="003C0C6D"/>
    <w:rsid w:val="003D08B7"/>
    <w:rsid w:val="00410F1D"/>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60CA4"/>
    <w:rsid w:val="00572B1D"/>
    <w:rsid w:val="00572EDB"/>
    <w:rsid w:val="00580922"/>
    <w:rsid w:val="005B317D"/>
    <w:rsid w:val="005B7448"/>
    <w:rsid w:val="005C5D42"/>
    <w:rsid w:val="005E790B"/>
    <w:rsid w:val="005F1B72"/>
    <w:rsid w:val="00612F7F"/>
    <w:rsid w:val="00630F6B"/>
    <w:rsid w:val="00631675"/>
    <w:rsid w:val="00655A09"/>
    <w:rsid w:val="006661C6"/>
    <w:rsid w:val="00667254"/>
    <w:rsid w:val="00670873"/>
    <w:rsid w:val="00687871"/>
    <w:rsid w:val="0071143C"/>
    <w:rsid w:val="00781A9F"/>
    <w:rsid w:val="00786E8B"/>
    <w:rsid w:val="00796F54"/>
    <w:rsid w:val="007B553F"/>
    <w:rsid w:val="007C29DF"/>
    <w:rsid w:val="007E4E36"/>
    <w:rsid w:val="007F6055"/>
    <w:rsid w:val="00814537"/>
    <w:rsid w:val="0084403C"/>
    <w:rsid w:val="0084634A"/>
    <w:rsid w:val="00881CC3"/>
    <w:rsid w:val="008C1092"/>
    <w:rsid w:val="008E30B9"/>
    <w:rsid w:val="008E7E63"/>
    <w:rsid w:val="00913D0C"/>
    <w:rsid w:val="00966688"/>
    <w:rsid w:val="009942BF"/>
    <w:rsid w:val="009B0FBD"/>
    <w:rsid w:val="009D6A75"/>
    <w:rsid w:val="009E0911"/>
    <w:rsid w:val="00A273FB"/>
    <w:rsid w:val="00A44B87"/>
    <w:rsid w:val="00A61E96"/>
    <w:rsid w:val="00A63DBD"/>
    <w:rsid w:val="00A7211A"/>
    <w:rsid w:val="00A77517"/>
    <w:rsid w:val="00A847EE"/>
    <w:rsid w:val="00A9054B"/>
    <w:rsid w:val="00AA5501"/>
    <w:rsid w:val="00AC2C24"/>
    <w:rsid w:val="00AD3B64"/>
    <w:rsid w:val="00AE4C7B"/>
    <w:rsid w:val="00B1440B"/>
    <w:rsid w:val="00B34E34"/>
    <w:rsid w:val="00B46E52"/>
    <w:rsid w:val="00B668B6"/>
    <w:rsid w:val="00B71CD1"/>
    <w:rsid w:val="00BA00CB"/>
    <w:rsid w:val="00BF004C"/>
    <w:rsid w:val="00BF0E1C"/>
    <w:rsid w:val="00BF1CAA"/>
    <w:rsid w:val="00C16E84"/>
    <w:rsid w:val="00C2381D"/>
    <w:rsid w:val="00C24BE6"/>
    <w:rsid w:val="00C3702D"/>
    <w:rsid w:val="00CC3ABF"/>
    <w:rsid w:val="00D057E1"/>
    <w:rsid w:val="00D05B13"/>
    <w:rsid w:val="00D20635"/>
    <w:rsid w:val="00D51B58"/>
    <w:rsid w:val="00D64373"/>
    <w:rsid w:val="00D9624B"/>
    <w:rsid w:val="00DA6750"/>
    <w:rsid w:val="00DB0FA5"/>
    <w:rsid w:val="00DB1C54"/>
    <w:rsid w:val="00DC1691"/>
    <w:rsid w:val="00DE047B"/>
    <w:rsid w:val="00DE7B6B"/>
    <w:rsid w:val="00E058BD"/>
    <w:rsid w:val="00E10D7B"/>
    <w:rsid w:val="00E21E2C"/>
    <w:rsid w:val="00E65E67"/>
    <w:rsid w:val="00E91E48"/>
    <w:rsid w:val="00EB781B"/>
    <w:rsid w:val="00ED4591"/>
    <w:rsid w:val="00ED77C4"/>
    <w:rsid w:val="00EF4D08"/>
    <w:rsid w:val="00F249CB"/>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F11B"/>
  <w15:docId w15:val="{134E0FB9-8F18-884B-99DA-211E9A4A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character" w:styleId="UnresolvedMention">
    <w:name w:val="Unresolved Mention"/>
    <w:basedOn w:val="DefaultParagraphFont"/>
    <w:uiPriority w:val="99"/>
    <w:semiHidden/>
    <w:unhideWhenUsed/>
    <w:rsid w:val="00DC1691"/>
    <w:rPr>
      <w:color w:val="605E5C"/>
      <w:shd w:val="clear" w:color="auto" w:fill="E1DFDD"/>
    </w:rPr>
  </w:style>
  <w:style w:type="paragraph" w:styleId="NormalWeb">
    <w:name w:val="Normal (Web)"/>
    <w:basedOn w:val="Normal"/>
    <w:uiPriority w:val="99"/>
    <w:unhideWhenUsed/>
    <w:rsid w:val="00AA5501"/>
    <w:pPr>
      <w:spacing w:before="100" w:beforeAutospacing="1" w:after="100" w:afterAutospacing="1"/>
    </w:pPr>
    <w:rPr>
      <w:lang w:eastAsia="zh-CN"/>
    </w:rPr>
  </w:style>
  <w:style w:type="character" w:customStyle="1" w:styleId="apple-converted-space">
    <w:name w:val="apple-converted-space"/>
    <w:basedOn w:val="DefaultParagraphFont"/>
    <w:rsid w:val="00AA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774932841">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0729436090324439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2</cp:revision>
  <dcterms:created xsi:type="dcterms:W3CDTF">2021-07-28T14:23:00Z</dcterms:created>
  <dcterms:modified xsi:type="dcterms:W3CDTF">2021-07-28T14:23:00Z</dcterms:modified>
</cp:coreProperties>
</file>