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E476B" w14:textId="77777777" w:rsidR="00276642" w:rsidRDefault="000D6F02" w:rsidP="009C4CBC">
      <w:pPr>
        <w:pStyle w:val="BodyText"/>
        <w:tabs>
          <w:tab w:val="left" w:pos="8820"/>
        </w:tabs>
      </w:pPr>
      <w:r>
        <w:rPr>
          <w:noProof/>
        </w:rPr>
        <w:drawing>
          <wp:inline distT="114300" distB="114300" distL="114300" distR="114300" wp14:anchorId="6614FD42" wp14:editId="4E44C443">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30DF95A6" w14:textId="702F5AF1" w:rsidR="00ED05F3" w:rsidRPr="00ED05F3" w:rsidRDefault="00ED05F3" w:rsidP="00ED05F3">
      <w:pPr>
        <w:pStyle w:val="Heading1"/>
      </w:pPr>
      <w:r w:rsidRPr="00ED05F3">
        <w:t xml:space="preserve">Test </w:t>
      </w:r>
      <w:r>
        <w:t>q</w:t>
      </w:r>
      <w:r w:rsidRPr="00ED05F3">
        <w:t xml:space="preserve">uestion </w:t>
      </w:r>
      <w:r>
        <w:t>d</w:t>
      </w:r>
      <w:r w:rsidRPr="00ED05F3">
        <w:t>esign</w:t>
      </w:r>
    </w:p>
    <w:p w14:paraId="2BB3BA57" w14:textId="2BE565D8" w:rsidR="00ED05F3" w:rsidRPr="00ED05F3" w:rsidRDefault="00ED05F3" w:rsidP="00ED05F3">
      <w:pPr>
        <w:pStyle w:val="Heading2"/>
      </w:pPr>
      <w:r w:rsidRPr="00ED05F3">
        <w:t>WHAT IS THIS RESOURCE?</w:t>
      </w:r>
    </w:p>
    <w:p w14:paraId="29006DF4" w14:textId="309D0660" w:rsidR="00ED05F3" w:rsidRDefault="00ED05F3" w:rsidP="00ED05F3">
      <w:pPr>
        <w:pStyle w:val="BodyText"/>
      </w:pPr>
      <w:r>
        <w:t>A comparison chart of test question types that outlines the purpose of each question type, or why you would elect to use that type of question on a test.</w:t>
      </w:r>
      <w:r w:rsidR="00B3668C">
        <w:t xml:space="preserve"> </w:t>
      </w:r>
      <w:r>
        <w:t>The chart also includes tips for writing each type of question.</w:t>
      </w:r>
      <w:r w:rsidR="00B3668C">
        <w:t xml:space="preserve"> </w:t>
      </w:r>
      <w:r>
        <w:t>The set of reflection prompts can be used as a final check of each question you have designed.</w:t>
      </w:r>
    </w:p>
    <w:p w14:paraId="24729051" w14:textId="4D17FA2D" w:rsidR="00ED05F3" w:rsidRPr="00ED05F3" w:rsidRDefault="00ED05F3" w:rsidP="00ED05F3">
      <w:pPr>
        <w:pStyle w:val="Heading2"/>
      </w:pPr>
      <w:r w:rsidRPr="00ED05F3">
        <w:t>HOW DO I USE IT?</w:t>
      </w:r>
    </w:p>
    <w:p w14:paraId="5A17428C" w14:textId="46E7E4EF" w:rsidR="00ED05F3" w:rsidRDefault="00ED05F3" w:rsidP="00ED05F3">
      <w:pPr>
        <w:pStyle w:val="BodyText"/>
      </w:pPr>
      <w:r>
        <w:t>Consult the comparison chart of test question types while you are creating or redesigning a test.</w:t>
      </w:r>
      <w:r w:rsidR="00B3668C">
        <w:t xml:space="preserve"> </w:t>
      </w:r>
      <w:r>
        <w:t>Begin by deciding the most appropriate type of question for the skill used by the student (</w:t>
      </w:r>
      <w:proofErr w:type="gramStart"/>
      <w:r>
        <w:t>i.e.</w:t>
      </w:r>
      <w:proofErr w:type="gramEnd"/>
      <w:r>
        <w:t xml:space="preserve"> the purpose of the question you are asking).</w:t>
      </w:r>
      <w:r w:rsidR="00B3668C">
        <w:t xml:space="preserve"> </w:t>
      </w:r>
      <w:r>
        <w:t>Next, compose the question using the provided tips.</w:t>
      </w:r>
      <w:r w:rsidR="00B3668C">
        <w:t xml:space="preserve"> </w:t>
      </w:r>
      <w:r>
        <w:t>After composing each question, consider the reflection prompts to help ensure you have designed the most effective question possible.</w:t>
      </w:r>
      <w:r w:rsidR="00B3668C">
        <w:t xml:space="preserve"> </w:t>
      </w:r>
      <w:r>
        <w:t xml:space="preserve">Consider asking a peer or TA to review the test and provide feedback before its use. For assistance, please contact </w:t>
      </w:r>
      <w:hyperlink r:id="rId9" w:history="1">
        <w:r w:rsidR="00844390">
          <w:rPr>
            <w:rStyle w:val="Hyperlink"/>
          </w:rPr>
          <w:t>CET</w:t>
        </w:r>
      </w:hyperlink>
      <w:r>
        <w:t>.</w:t>
      </w:r>
    </w:p>
    <w:p w14:paraId="269244E7" w14:textId="1000C426" w:rsidR="00ED05F3" w:rsidRDefault="00ED05F3" w:rsidP="00ED05F3">
      <w:pPr>
        <w:pStyle w:val="BodyText"/>
      </w:pPr>
      <w:r>
        <w:t>Assessments provide instructors with the tangible, gradable evidence needed to measure student performance against our course learning objectives.</w:t>
      </w:r>
      <w:r w:rsidR="00B3668C">
        <w:t xml:space="preserve"> </w:t>
      </w:r>
      <w:r>
        <w:t>This means that assessments align to our course learning objectives and are direct measurements of them.</w:t>
      </w:r>
      <w:r w:rsidR="00B3668C">
        <w:t xml:space="preserve"> </w:t>
      </w:r>
      <w:r>
        <w:t>Ideally, a course uses a variety of assessment types, such a papers, projects, and presentations.</w:t>
      </w:r>
      <w:r w:rsidR="00B3668C">
        <w:t xml:space="preserve"> </w:t>
      </w:r>
      <w:r>
        <w:t>Tests, also called exams, are another type of assessment that can be used to measure student performance.</w:t>
      </w:r>
      <w:r w:rsidR="00B3668C">
        <w:t xml:space="preserve"> </w:t>
      </w:r>
      <w:r>
        <w:t xml:space="preserve">For more information on assessment types, see the CET resources on </w:t>
      </w:r>
      <w:r w:rsidRPr="00737B1B">
        <w:t>Bloom’s Taxonomy</w:t>
      </w:r>
      <w:r>
        <w:t xml:space="preserve"> and </w:t>
      </w:r>
      <w:r w:rsidRPr="00737B1B">
        <w:t>Types of Assessments</w:t>
      </w:r>
      <w:r w:rsidRPr="00844390">
        <w:t>.</w:t>
      </w:r>
    </w:p>
    <w:p w14:paraId="04187173" w14:textId="72FE631A" w:rsidR="00ED05F3" w:rsidRDefault="00ED05F3" w:rsidP="00ED05F3">
      <w:pPr>
        <w:pStyle w:val="Heading3"/>
      </w:pPr>
      <w:r>
        <w:t>The science of test design</w:t>
      </w:r>
    </w:p>
    <w:p w14:paraId="38C50D56" w14:textId="65341D99" w:rsidR="00ED05F3" w:rsidRDefault="00ED05F3" w:rsidP="00ED05F3">
      <w:pPr>
        <w:pStyle w:val="BodyText"/>
      </w:pPr>
      <w:r>
        <w:t>Test design is a complicated science.</w:t>
      </w:r>
      <w:r w:rsidR="00B3668C">
        <w:t xml:space="preserve"> </w:t>
      </w:r>
      <w:r>
        <w:t>Selecting the most appropriate kind of test question required to elicit the information you need from students, and then writing the question itself, are challenging skills.</w:t>
      </w:r>
      <w:r w:rsidR="00B3668C">
        <w:t xml:space="preserve"> </w:t>
      </w:r>
      <w:r>
        <w:t>Luckily, there are basic best practices to guide our test design, simplified in the chart below.</w:t>
      </w:r>
    </w:p>
    <w:p w14:paraId="0BD138AC" w14:textId="7BD99460" w:rsidR="00836C41" w:rsidRDefault="00836C41" w:rsidP="00836C41">
      <w:pPr>
        <w:pStyle w:val="BodyText"/>
      </w:pPr>
      <w:r>
        <w:t xml:space="preserve">Table </w:t>
      </w:r>
      <w:fldSimple w:instr=" SEQ Table \* ARABIC ">
        <w:r>
          <w:rPr>
            <w:noProof/>
          </w:rPr>
          <w:t>1</w:t>
        </w:r>
      </w:fldSimple>
      <w:r>
        <w:t xml:space="preserve"> The science of test design</w:t>
      </w:r>
    </w:p>
    <w:tbl>
      <w:tblPr>
        <w:tblStyle w:val="TableGrid"/>
        <w:tblW w:w="0" w:type="auto"/>
        <w:tblLook w:val="04A0" w:firstRow="1" w:lastRow="0" w:firstColumn="1" w:lastColumn="0" w:noHBand="0" w:noVBand="1"/>
        <w:tblCaption w:val="The science of test design"/>
        <w:tblDescription w:val="Question format, skill used by student, and tips for using this format are listed in three columns. Eight rows are under the question format heading which list the different types of tests available."/>
      </w:tblPr>
      <w:tblGrid>
        <w:gridCol w:w="3116"/>
        <w:gridCol w:w="3117"/>
        <w:gridCol w:w="3117"/>
      </w:tblGrid>
      <w:tr w:rsidR="00ED05F3" w14:paraId="5064BBB0" w14:textId="77777777" w:rsidTr="00ED05F3">
        <w:trPr>
          <w:cantSplit/>
          <w:tblHeader/>
        </w:trPr>
        <w:tc>
          <w:tcPr>
            <w:tcW w:w="3116" w:type="dxa"/>
            <w:shd w:val="clear" w:color="auto" w:fill="EEEEEE"/>
          </w:tcPr>
          <w:p w14:paraId="06E06A6A" w14:textId="2BDF210F" w:rsidR="00ED05F3" w:rsidRPr="00ED05F3" w:rsidRDefault="00ED05F3" w:rsidP="00ED05F3">
            <w:pPr>
              <w:pStyle w:val="BodyText"/>
              <w:ind w:left="0"/>
              <w:rPr>
                <w:rStyle w:val="Strong"/>
              </w:rPr>
            </w:pPr>
            <w:r w:rsidRPr="00ED05F3">
              <w:rPr>
                <w:rStyle w:val="Strong"/>
              </w:rPr>
              <w:lastRenderedPageBreak/>
              <w:t>Question format</w:t>
            </w:r>
          </w:p>
        </w:tc>
        <w:tc>
          <w:tcPr>
            <w:tcW w:w="3117" w:type="dxa"/>
            <w:shd w:val="clear" w:color="auto" w:fill="EEEEEE"/>
          </w:tcPr>
          <w:p w14:paraId="6A5F1AC1" w14:textId="383B0888" w:rsidR="00ED05F3" w:rsidRPr="00ED05F3" w:rsidRDefault="00ED05F3" w:rsidP="00ED05F3">
            <w:pPr>
              <w:pStyle w:val="BodyText"/>
              <w:ind w:left="0"/>
              <w:rPr>
                <w:rStyle w:val="Strong"/>
              </w:rPr>
            </w:pPr>
            <w:r w:rsidRPr="00ED05F3">
              <w:rPr>
                <w:rStyle w:val="Strong"/>
              </w:rPr>
              <w:t>Skill used by student</w:t>
            </w:r>
          </w:p>
        </w:tc>
        <w:tc>
          <w:tcPr>
            <w:tcW w:w="3117" w:type="dxa"/>
            <w:shd w:val="clear" w:color="auto" w:fill="EEEEEE"/>
          </w:tcPr>
          <w:p w14:paraId="5D924B6F" w14:textId="562AFBA1" w:rsidR="00ED05F3" w:rsidRPr="00ED05F3" w:rsidRDefault="00ED05F3" w:rsidP="00ED05F3">
            <w:pPr>
              <w:pStyle w:val="BodyText"/>
              <w:ind w:left="0"/>
              <w:rPr>
                <w:rStyle w:val="Strong"/>
              </w:rPr>
            </w:pPr>
            <w:r w:rsidRPr="00ED05F3">
              <w:rPr>
                <w:rStyle w:val="Strong"/>
              </w:rPr>
              <w:t>Tips for using this format</w:t>
            </w:r>
          </w:p>
        </w:tc>
      </w:tr>
      <w:tr w:rsidR="00ED05F3" w14:paraId="6284E591" w14:textId="77777777" w:rsidTr="00ED05F3">
        <w:trPr>
          <w:cantSplit/>
        </w:trPr>
        <w:tc>
          <w:tcPr>
            <w:tcW w:w="3116" w:type="dxa"/>
            <w:shd w:val="clear" w:color="auto" w:fill="EEEEEE"/>
          </w:tcPr>
          <w:p w14:paraId="43812B06" w14:textId="25B2C671" w:rsidR="00ED05F3" w:rsidRPr="00ED05F3" w:rsidRDefault="00ED05F3" w:rsidP="00ED05F3">
            <w:pPr>
              <w:pStyle w:val="BodyText"/>
              <w:ind w:left="0"/>
              <w:rPr>
                <w:rStyle w:val="Strong"/>
              </w:rPr>
            </w:pPr>
            <w:r w:rsidRPr="00ED05F3">
              <w:rPr>
                <w:rStyle w:val="Strong"/>
              </w:rPr>
              <w:t>True/false</w:t>
            </w:r>
          </w:p>
        </w:tc>
        <w:tc>
          <w:tcPr>
            <w:tcW w:w="3117" w:type="dxa"/>
          </w:tcPr>
          <w:p w14:paraId="6E748CD1" w14:textId="77777777" w:rsidR="00ED05F3" w:rsidRDefault="00ED05F3" w:rsidP="00ED05F3">
            <w:pPr>
              <w:pStyle w:val="Tabletext"/>
            </w:pPr>
            <w:r>
              <w:t>• make categorical, either/or judgments</w:t>
            </w:r>
          </w:p>
          <w:p w14:paraId="5A0EB34E" w14:textId="77777777" w:rsidR="00ED05F3" w:rsidRDefault="00ED05F3" w:rsidP="00ED05F3">
            <w:pPr>
              <w:pStyle w:val="Tabletext"/>
            </w:pPr>
            <w:r>
              <w:t>• select between opposites</w:t>
            </w:r>
          </w:p>
          <w:p w14:paraId="4D5C6816" w14:textId="212B16AD" w:rsidR="00ED05F3" w:rsidRDefault="00ED05F3" w:rsidP="00ED05F3">
            <w:pPr>
              <w:pStyle w:val="Tabletext"/>
            </w:pPr>
            <w:r>
              <w:t>• simulate job activities requiring binary decisions (yes/no; go/no-go; approve/disapprove)</w:t>
            </w:r>
          </w:p>
        </w:tc>
        <w:tc>
          <w:tcPr>
            <w:tcW w:w="3117" w:type="dxa"/>
          </w:tcPr>
          <w:p w14:paraId="625513B2" w14:textId="77777777" w:rsidR="00ED05F3" w:rsidRDefault="00ED05F3" w:rsidP="00ED05F3">
            <w:pPr>
              <w:pStyle w:val="Tabletext"/>
            </w:pPr>
            <w:r>
              <w:t xml:space="preserve">• phrase questions in neutral terms to not give away the answer </w:t>
            </w:r>
          </w:p>
          <w:p w14:paraId="6D11E4D6" w14:textId="24F3E7FB" w:rsidR="00ED05F3" w:rsidRDefault="00ED05F3" w:rsidP="00ED05F3">
            <w:pPr>
              <w:pStyle w:val="Tabletext"/>
            </w:pPr>
            <w:r>
              <w:t>• vary correct answer so it’s sometimes false, sometimes true</w:t>
            </w:r>
          </w:p>
        </w:tc>
      </w:tr>
      <w:tr w:rsidR="00ED05F3" w14:paraId="540CD2E7" w14:textId="77777777" w:rsidTr="00ED05F3">
        <w:trPr>
          <w:cantSplit/>
        </w:trPr>
        <w:tc>
          <w:tcPr>
            <w:tcW w:w="3116" w:type="dxa"/>
            <w:shd w:val="clear" w:color="auto" w:fill="EEEEEE"/>
          </w:tcPr>
          <w:p w14:paraId="1F67E762" w14:textId="10F0CC44" w:rsidR="00ED05F3" w:rsidRPr="00ED05F3" w:rsidRDefault="00ED05F3" w:rsidP="00ED05F3">
            <w:pPr>
              <w:pStyle w:val="BodyText"/>
              <w:ind w:left="0"/>
              <w:rPr>
                <w:rStyle w:val="Strong"/>
              </w:rPr>
            </w:pPr>
            <w:r w:rsidRPr="00ED05F3">
              <w:rPr>
                <w:rStyle w:val="Strong"/>
              </w:rPr>
              <w:t>Choose one/Choose the one best answer</w:t>
            </w:r>
          </w:p>
        </w:tc>
        <w:tc>
          <w:tcPr>
            <w:tcW w:w="3117" w:type="dxa"/>
          </w:tcPr>
          <w:p w14:paraId="2482EA82" w14:textId="77777777" w:rsidR="00ED05F3" w:rsidRDefault="00ED05F3" w:rsidP="00ED05F3">
            <w:pPr>
              <w:pStyle w:val="Tabletext"/>
            </w:pPr>
            <w:r>
              <w:t>• assign an item to a well-defined category</w:t>
            </w:r>
          </w:p>
          <w:p w14:paraId="476071BF" w14:textId="77777777" w:rsidR="00ED05F3" w:rsidRDefault="00ED05F3" w:rsidP="00ED05F3">
            <w:pPr>
              <w:pStyle w:val="Tabletext"/>
            </w:pPr>
            <w:r>
              <w:t>• identify a member of a category</w:t>
            </w:r>
          </w:p>
          <w:p w14:paraId="7024702B" w14:textId="6E92A847" w:rsidR="00ED05F3" w:rsidRDefault="00ED05F3" w:rsidP="00ED05F3">
            <w:pPr>
              <w:pStyle w:val="Tabletext"/>
            </w:pPr>
            <w:r>
              <w:t>• choose one right answer from a list</w:t>
            </w:r>
          </w:p>
        </w:tc>
        <w:tc>
          <w:tcPr>
            <w:tcW w:w="3117" w:type="dxa"/>
          </w:tcPr>
          <w:p w14:paraId="18DA20DD" w14:textId="77777777" w:rsidR="00ED05F3" w:rsidRDefault="00ED05F3" w:rsidP="00ED05F3">
            <w:pPr>
              <w:pStyle w:val="Tabletext"/>
            </w:pPr>
            <w:r>
              <w:t>• include at least 4 alternatives, some nearly right</w:t>
            </w:r>
          </w:p>
          <w:p w14:paraId="40F00C18" w14:textId="1751BA0C" w:rsidR="00ED05F3" w:rsidRDefault="00ED05F3" w:rsidP="00ED05F3">
            <w:pPr>
              <w:pStyle w:val="Tabletext"/>
            </w:pPr>
            <w:r>
              <w:t>• require thought, not process of elimination</w:t>
            </w:r>
          </w:p>
        </w:tc>
      </w:tr>
      <w:tr w:rsidR="00ED05F3" w14:paraId="67B545D8" w14:textId="77777777" w:rsidTr="00ED05F3">
        <w:trPr>
          <w:cantSplit/>
        </w:trPr>
        <w:tc>
          <w:tcPr>
            <w:tcW w:w="3116" w:type="dxa"/>
            <w:shd w:val="clear" w:color="auto" w:fill="EEEEEE"/>
          </w:tcPr>
          <w:p w14:paraId="0B03CE20" w14:textId="634B84D8" w:rsidR="00ED05F3" w:rsidRPr="00ED05F3" w:rsidRDefault="00ED05F3" w:rsidP="006431D8">
            <w:pPr>
              <w:pStyle w:val="Tabletext"/>
              <w:rPr>
                <w:rStyle w:val="Strong"/>
              </w:rPr>
            </w:pPr>
            <w:r w:rsidRPr="00ED05F3">
              <w:rPr>
                <w:rStyle w:val="Strong"/>
              </w:rPr>
              <w:t>Choose all that apply</w:t>
            </w:r>
          </w:p>
        </w:tc>
        <w:tc>
          <w:tcPr>
            <w:tcW w:w="3117" w:type="dxa"/>
          </w:tcPr>
          <w:p w14:paraId="27A60A8F" w14:textId="77777777" w:rsidR="00ED05F3" w:rsidRDefault="006431D8" w:rsidP="006431D8">
            <w:pPr>
              <w:pStyle w:val="Tabletext"/>
            </w:pPr>
            <w:r>
              <w:t>• interpret sophisticated scenarios with more than one right answer</w:t>
            </w:r>
          </w:p>
          <w:p w14:paraId="71C80CA0" w14:textId="77777777" w:rsidR="006431D8" w:rsidRDefault="006431D8" w:rsidP="006431D8">
            <w:pPr>
              <w:pStyle w:val="Tabletext"/>
            </w:pPr>
            <w:r>
              <w:t>• recognize multiple correct answers in a list</w:t>
            </w:r>
          </w:p>
          <w:p w14:paraId="2C074BD0" w14:textId="26874B61" w:rsidR="006431D8" w:rsidRDefault="006431D8" w:rsidP="006431D8">
            <w:pPr>
              <w:pStyle w:val="Tabletext"/>
            </w:pPr>
            <w:r>
              <w:t>• recognize characteristics that apply to an object/concept</w:t>
            </w:r>
          </w:p>
        </w:tc>
        <w:tc>
          <w:tcPr>
            <w:tcW w:w="3117" w:type="dxa"/>
          </w:tcPr>
          <w:p w14:paraId="2EF42828" w14:textId="63D61B64" w:rsidR="00ED05F3" w:rsidRDefault="006431D8" w:rsidP="00ED05F3">
            <w:pPr>
              <w:pStyle w:val="BodyText"/>
              <w:ind w:left="0"/>
            </w:pPr>
            <w:r>
              <w:t>• include nearly right answer choices</w:t>
            </w:r>
          </w:p>
        </w:tc>
      </w:tr>
      <w:tr w:rsidR="00ED05F3" w14:paraId="3E2464C8" w14:textId="77777777" w:rsidTr="00ED05F3">
        <w:trPr>
          <w:cantSplit/>
        </w:trPr>
        <w:tc>
          <w:tcPr>
            <w:tcW w:w="3116" w:type="dxa"/>
            <w:shd w:val="clear" w:color="auto" w:fill="EEEEEE"/>
          </w:tcPr>
          <w:p w14:paraId="30455BF7" w14:textId="019D7E9C" w:rsidR="00ED05F3" w:rsidRPr="00ED05F3" w:rsidRDefault="00ED05F3" w:rsidP="00ED05F3">
            <w:pPr>
              <w:pStyle w:val="BodyText"/>
              <w:ind w:left="0"/>
              <w:rPr>
                <w:rStyle w:val="Strong"/>
              </w:rPr>
            </w:pPr>
            <w:r w:rsidRPr="00ED05F3">
              <w:rPr>
                <w:rStyle w:val="Strong"/>
              </w:rPr>
              <w:t>Free response/Short answer/Essay/Composition</w:t>
            </w:r>
          </w:p>
        </w:tc>
        <w:tc>
          <w:tcPr>
            <w:tcW w:w="3117" w:type="dxa"/>
          </w:tcPr>
          <w:p w14:paraId="5744E0C9" w14:textId="77777777" w:rsidR="00ED05F3" w:rsidRPr="006431D8" w:rsidRDefault="006431D8" w:rsidP="006431D8">
            <w:pPr>
              <w:pStyle w:val="Tabletext"/>
            </w:pPr>
            <w:r w:rsidRPr="006431D8">
              <w:t>• recall names, numbers, facts, and text</w:t>
            </w:r>
          </w:p>
          <w:p w14:paraId="15B2B364" w14:textId="77777777" w:rsidR="006431D8" w:rsidRPr="006431D8" w:rsidRDefault="006431D8" w:rsidP="006431D8">
            <w:pPr>
              <w:pStyle w:val="Tabletext"/>
            </w:pPr>
            <w:r w:rsidRPr="006431D8">
              <w:t>• produce limited amount of free-form writing</w:t>
            </w:r>
          </w:p>
          <w:p w14:paraId="6FE5ED2B" w14:textId="6CBF5226" w:rsidR="006431D8" w:rsidRPr="006431D8" w:rsidRDefault="006431D8" w:rsidP="006431D8">
            <w:pPr>
              <w:pStyle w:val="Tabletext"/>
            </w:pPr>
            <w:r w:rsidRPr="006431D8">
              <w:t>• create original explanation, story, sketch, etc.</w:t>
            </w:r>
          </w:p>
        </w:tc>
        <w:tc>
          <w:tcPr>
            <w:tcW w:w="3117" w:type="dxa"/>
          </w:tcPr>
          <w:p w14:paraId="09829737" w14:textId="77777777" w:rsidR="00ED05F3" w:rsidRPr="006431D8" w:rsidRDefault="006431D8" w:rsidP="006431D8">
            <w:pPr>
              <w:pStyle w:val="Tabletext"/>
            </w:pPr>
            <w:r w:rsidRPr="006431D8">
              <w:t>• phrase question to limit number and form of correct answers</w:t>
            </w:r>
          </w:p>
          <w:p w14:paraId="0D94396E" w14:textId="77777777" w:rsidR="006431D8" w:rsidRPr="006431D8" w:rsidRDefault="006431D8" w:rsidP="006431D8">
            <w:pPr>
              <w:pStyle w:val="Tabletext"/>
            </w:pPr>
            <w:r w:rsidRPr="006431D8">
              <w:t>• accept synonyms, grammatical variants, and some misspellings</w:t>
            </w:r>
          </w:p>
          <w:p w14:paraId="2DD56F2F" w14:textId="77777777" w:rsidR="006431D8" w:rsidRPr="006431D8" w:rsidRDefault="006431D8" w:rsidP="006431D8">
            <w:pPr>
              <w:pStyle w:val="Tabletext"/>
            </w:pPr>
            <w:r w:rsidRPr="006431D8">
              <w:t>• ask only one, simple question per input box/response area</w:t>
            </w:r>
          </w:p>
          <w:p w14:paraId="62C86DAD" w14:textId="67711AB0" w:rsidR="006431D8" w:rsidRPr="006431D8" w:rsidRDefault="006431D8" w:rsidP="006431D8">
            <w:pPr>
              <w:pStyle w:val="Tabletext"/>
            </w:pPr>
            <w:r w:rsidRPr="006431D8">
              <w:t>• use a grading rubric to determine required elements in an open answer that will be awarded points</w:t>
            </w:r>
          </w:p>
        </w:tc>
      </w:tr>
      <w:tr w:rsidR="00ED05F3" w14:paraId="0F3F727B" w14:textId="77777777" w:rsidTr="00ED05F3">
        <w:trPr>
          <w:cantSplit/>
        </w:trPr>
        <w:tc>
          <w:tcPr>
            <w:tcW w:w="3116" w:type="dxa"/>
            <w:shd w:val="clear" w:color="auto" w:fill="EEEEEE"/>
          </w:tcPr>
          <w:p w14:paraId="153B2BD1" w14:textId="787C4BAB" w:rsidR="00ED05F3" w:rsidRPr="00ED05F3" w:rsidRDefault="00ED05F3" w:rsidP="00ED05F3">
            <w:pPr>
              <w:pStyle w:val="BodyText"/>
              <w:ind w:left="0"/>
              <w:rPr>
                <w:rStyle w:val="Strong"/>
              </w:rPr>
            </w:pPr>
            <w:r w:rsidRPr="00ED05F3">
              <w:rPr>
                <w:rStyle w:val="Strong"/>
              </w:rPr>
              <w:t>Fill-in-the-blank (typically, one word or short phrase)</w:t>
            </w:r>
          </w:p>
        </w:tc>
        <w:tc>
          <w:tcPr>
            <w:tcW w:w="3117" w:type="dxa"/>
          </w:tcPr>
          <w:p w14:paraId="03BEE0AC" w14:textId="77777777" w:rsidR="00ED05F3" w:rsidRPr="006431D8" w:rsidRDefault="006431D8" w:rsidP="006431D8">
            <w:pPr>
              <w:pStyle w:val="Tabletext"/>
            </w:pPr>
            <w:r w:rsidRPr="006431D8">
              <w:t>• recall names, numbers, facts, and text</w:t>
            </w:r>
          </w:p>
          <w:p w14:paraId="71683C6C" w14:textId="77777777" w:rsidR="006431D8" w:rsidRPr="006431D8" w:rsidRDefault="006431D8" w:rsidP="006431D8">
            <w:pPr>
              <w:pStyle w:val="Tabletext"/>
            </w:pPr>
            <w:r w:rsidRPr="006431D8">
              <w:t>• test detailed knowledge like terminology, syntax, and formulas</w:t>
            </w:r>
          </w:p>
          <w:p w14:paraId="1A0CBEA1" w14:textId="64DDE1D5" w:rsidR="006431D8" w:rsidRDefault="006431D8" w:rsidP="006431D8">
            <w:pPr>
              <w:pStyle w:val="Tabletext"/>
            </w:pPr>
            <w:r w:rsidRPr="006431D8">
              <w:t>• provide context or scaffolding for learners to get the missing answer</w:t>
            </w:r>
          </w:p>
        </w:tc>
        <w:tc>
          <w:tcPr>
            <w:tcW w:w="3117" w:type="dxa"/>
          </w:tcPr>
          <w:p w14:paraId="0F7B4FE0" w14:textId="77777777" w:rsidR="006431D8" w:rsidRPr="006431D8" w:rsidRDefault="006431D8" w:rsidP="006431D8">
            <w:pPr>
              <w:pStyle w:val="Tabletext"/>
            </w:pPr>
            <w:r w:rsidRPr="006431D8">
              <w:t>• decide if spelling counts and if synonyms will be allowed</w:t>
            </w:r>
          </w:p>
          <w:p w14:paraId="75F9E7D3" w14:textId="08B404AB" w:rsidR="00ED05F3" w:rsidRDefault="00ED05F3" w:rsidP="00ED05F3">
            <w:pPr>
              <w:pStyle w:val="BodyText"/>
              <w:ind w:left="0"/>
            </w:pPr>
          </w:p>
        </w:tc>
      </w:tr>
      <w:tr w:rsidR="00ED05F3" w14:paraId="43D0CCA4" w14:textId="77777777" w:rsidTr="00ED05F3">
        <w:trPr>
          <w:cantSplit/>
        </w:trPr>
        <w:tc>
          <w:tcPr>
            <w:tcW w:w="3116" w:type="dxa"/>
            <w:shd w:val="clear" w:color="auto" w:fill="EEEEEE"/>
          </w:tcPr>
          <w:p w14:paraId="101790A9" w14:textId="6C8636F6" w:rsidR="00ED05F3" w:rsidRPr="00ED05F3" w:rsidRDefault="00ED05F3" w:rsidP="00ED05F3">
            <w:pPr>
              <w:pStyle w:val="BodyText"/>
              <w:ind w:left="0"/>
              <w:rPr>
                <w:rStyle w:val="Strong"/>
              </w:rPr>
            </w:pPr>
            <w:r w:rsidRPr="00ED05F3">
              <w:rPr>
                <w:rStyle w:val="Strong"/>
              </w:rPr>
              <w:lastRenderedPageBreak/>
              <w:t>Matching</w:t>
            </w:r>
          </w:p>
        </w:tc>
        <w:tc>
          <w:tcPr>
            <w:tcW w:w="3117" w:type="dxa"/>
          </w:tcPr>
          <w:p w14:paraId="14A84A24" w14:textId="1A459551" w:rsidR="006431D8" w:rsidRPr="006431D8" w:rsidRDefault="006431D8" w:rsidP="0062661E">
            <w:pPr>
              <w:pStyle w:val="Tabletext"/>
            </w:pPr>
            <w:r w:rsidRPr="006431D8">
              <w:t>• measure knowledge of relationships among concepts or objects like tools/uses or terms/definitions</w:t>
            </w:r>
          </w:p>
          <w:p w14:paraId="73154ACE" w14:textId="08EB2E0F" w:rsidR="00ED05F3" w:rsidRPr="006431D8" w:rsidRDefault="006431D8" w:rsidP="0062661E">
            <w:pPr>
              <w:pStyle w:val="Tabletext"/>
            </w:pPr>
            <w:r w:rsidRPr="006431D8">
              <w:t>• identify associations between items in two lists</w:t>
            </w:r>
          </w:p>
        </w:tc>
        <w:tc>
          <w:tcPr>
            <w:tcW w:w="3117" w:type="dxa"/>
          </w:tcPr>
          <w:p w14:paraId="42D32281" w14:textId="3C7E4E51" w:rsidR="006431D8" w:rsidRDefault="006431D8" w:rsidP="0062661E">
            <w:pPr>
              <w:pStyle w:val="Tabletext"/>
            </w:pPr>
            <w:r w:rsidRPr="006431D8">
              <w:t>• keep both lists short so they fit in the same display area</w:t>
            </w:r>
          </w:p>
          <w:p w14:paraId="548F50DE" w14:textId="5D88F570" w:rsidR="006431D8" w:rsidRPr="006431D8" w:rsidRDefault="006431D8" w:rsidP="0062661E">
            <w:pPr>
              <w:pStyle w:val="Tabletext"/>
            </w:pPr>
            <w:r>
              <w:t xml:space="preserve">• when possible, use selection lists or drag-and-drop over having </w:t>
            </w:r>
            <w:proofErr w:type="gramStart"/>
            <w:r>
              <w:t>learners</w:t>
            </w:r>
            <w:proofErr w:type="gramEnd"/>
            <w:r>
              <w:t xml:space="preserve"> type in answers</w:t>
            </w:r>
          </w:p>
          <w:p w14:paraId="12E3AF82" w14:textId="7375A0B6" w:rsidR="00ED05F3" w:rsidRPr="006431D8" w:rsidRDefault="0062661E" w:rsidP="0062661E">
            <w:pPr>
              <w:pStyle w:val="Tabletext"/>
            </w:pPr>
            <w:r>
              <w:t>• include at least one item that has no match</w:t>
            </w:r>
          </w:p>
        </w:tc>
      </w:tr>
      <w:tr w:rsidR="00ED05F3" w14:paraId="33ECB286" w14:textId="77777777" w:rsidTr="00ED05F3">
        <w:trPr>
          <w:cantSplit/>
        </w:trPr>
        <w:tc>
          <w:tcPr>
            <w:tcW w:w="3116" w:type="dxa"/>
            <w:shd w:val="clear" w:color="auto" w:fill="EEEEEE"/>
          </w:tcPr>
          <w:p w14:paraId="3C47952E" w14:textId="21794B6B" w:rsidR="00ED05F3" w:rsidRPr="00ED05F3" w:rsidRDefault="00ED05F3" w:rsidP="00ED05F3">
            <w:pPr>
              <w:pStyle w:val="BodyText"/>
              <w:ind w:left="0"/>
              <w:rPr>
                <w:rStyle w:val="Strong"/>
              </w:rPr>
            </w:pPr>
            <w:r w:rsidRPr="00ED05F3">
              <w:rPr>
                <w:rStyle w:val="Strong"/>
              </w:rPr>
              <w:t>Sequence</w:t>
            </w:r>
          </w:p>
        </w:tc>
        <w:tc>
          <w:tcPr>
            <w:tcW w:w="3117" w:type="dxa"/>
          </w:tcPr>
          <w:p w14:paraId="2132EB3E" w14:textId="4A721B19" w:rsidR="00ED05F3" w:rsidRDefault="0062661E" w:rsidP="0062661E">
            <w:pPr>
              <w:pStyle w:val="Tabletext"/>
            </w:pPr>
            <w:r>
              <w:t>• identify order of items in a sequence</w:t>
            </w:r>
          </w:p>
        </w:tc>
        <w:tc>
          <w:tcPr>
            <w:tcW w:w="3117" w:type="dxa"/>
          </w:tcPr>
          <w:p w14:paraId="64CA8B58" w14:textId="77777777" w:rsidR="0062661E" w:rsidRDefault="0062661E" w:rsidP="0062661E">
            <w:pPr>
              <w:pStyle w:val="Tabletext"/>
            </w:pPr>
            <w:r>
              <w:t>• use for chronological order or a ranking scheme</w:t>
            </w:r>
          </w:p>
          <w:p w14:paraId="397761B8" w14:textId="49509133" w:rsidR="00ED05F3" w:rsidRDefault="00ED05F3" w:rsidP="0062661E">
            <w:pPr>
              <w:pStyle w:val="Tabletext"/>
            </w:pPr>
          </w:p>
        </w:tc>
      </w:tr>
      <w:tr w:rsidR="00ED05F3" w14:paraId="640B0E19" w14:textId="77777777" w:rsidTr="00ED05F3">
        <w:trPr>
          <w:cantSplit/>
        </w:trPr>
        <w:tc>
          <w:tcPr>
            <w:tcW w:w="3116" w:type="dxa"/>
            <w:shd w:val="clear" w:color="auto" w:fill="EEEEEE"/>
          </w:tcPr>
          <w:p w14:paraId="3C85E37E" w14:textId="6699D9D4" w:rsidR="00ED05F3" w:rsidRPr="00ED05F3" w:rsidRDefault="00ED05F3" w:rsidP="00ED05F3">
            <w:pPr>
              <w:pStyle w:val="BodyText"/>
              <w:ind w:left="0"/>
              <w:rPr>
                <w:rStyle w:val="Strong"/>
              </w:rPr>
            </w:pPr>
            <w:r w:rsidRPr="00ED05F3">
              <w:rPr>
                <w:rStyle w:val="Strong"/>
              </w:rPr>
              <w:t>Image-based</w:t>
            </w:r>
          </w:p>
        </w:tc>
        <w:tc>
          <w:tcPr>
            <w:tcW w:w="3117" w:type="dxa"/>
          </w:tcPr>
          <w:p w14:paraId="777525B9" w14:textId="19D1E62A" w:rsidR="00ED05F3" w:rsidRDefault="0062661E" w:rsidP="0062661E">
            <w:pPr>
              <w:pStyle w:val="Tabletext"/>
            </w:pPr>
            <w:r>
              <w:t>• visually recognize an object, area, or subsystem</w:t>
            </w:r>
          </w:p>
        </w:tc>
        <w:tc>
          <w:tcPr>
            <w:tcW w:w="3117" w:type="dxa"/>
          </w:tcPr>
          <w:p w14:paraId="24A05925" w14:textId="77777777" w:rsidR="00ED05F3" w:rsidRDefault="0062661E" w:rsidP="0062661E">
            <w:pPr>
              <w:pStyle w:val="Tabletext"/>
            </w:pPr>
            <w:r>
              <w:t>• make target areas of the image visually distinct and large enough</w:t>
            </w:r>
          </w:p>
          <w:p w14:paraId="643518F3" w14:textId="3F8405FB" w:rsidR="0062661E" w:rsidRDefault="0062661E" w:rsidP="0062661E">
            <w:pPr>
              <w:pStyle w:val="Tabletext"/>
            </w:pPr>
            <w:r>
              <w:t>• show the scene or image as closely as possible to how it would appear in the real world</w:t>
            </w:r>
          </w:p>
        </w:tc>
      </w:tr>
    </w:tbl>
    <w:p w14:paraId="16D8A9F5" w14:textId="33434BC5" w:rsidR="00ED05F3" w:rsidRDefault="00ED05F3" w:rsidP="0062661E">
      <w:pPr>
        <w:pStyle w:val="Heading3"/>
      </w:pPr>
      <w:r>
        <w:t>R</w:t>
      </w:r>
      <w:r w:rsidR="0062661E">
        <w:t>eflection prompts</w:t>
      </w:r>
    </w:p>
    <w:p w14:paraId="10FCE4B0" w14:textId="5A3EE24B" w:rsidR="00ED05F3" w:rsidRDefault="00ED05F3" w:rsidP="00ED05F3">
      <w:pPr>
        <w:pStyle w:val="BodyText"/>
      </w:pPr>
      <w:r>
        <w:t>As a final check of the questions you have written, consider the following reflection prompts.</w:t>
      </w:r>
      <w:r w:rsidR="00B3668C">
        <w:t xml:space="preserve"> </w:t>
      </w:r>
      <w:r>
        <w:t>It can also be helpful to have a colleague or TA review, or even take, the test and provide you feedback.</w:t>
      </w:r>
    </w:p>
    <w:p w14:paraId="6D1D5281" w14:textId="4E812FEA" w:rsidR="00ED05F3" w:rsidRPr="0062661E" w:rsidRDefault="00ED05F3" w:rsidP="0062661E">
      <w:pPr>
        <w:pStyle w:val="Bulletlist1"/>
        <w:numPr>
          <w:ilvl w:val="0"/>
          <w:numId w:val="43"/>
        </w:numPr>
        <w:rPr>
          <w:rStyle w:val="Strong"/>
        </w:rPr>
      </w:pPr>
      <w:r w:rsidRPr="0062661E">
        <w:rPr>
          <w:rStyle w:val="Strong"/>
        </w:rPr>
        <w:t xml:space="preserve">Which course learning objective does this question test or address? </w:t>
      </w:r>
    </w:p>
    <w:p w14:paraId="453F6F71" w14:textId="633D68AA" w:rsidR="00B3668C" w:rsidRDefault="00ED05F3" w:rsidP="00B3668C">
      <w:pPr>
        <w:pStyle w:val="Bulletlist1"/>
      </w:pPr>
      <w:r w:rsidRPr="0062661E">
        <w:rPr>
          <w:rStyle w:val="Strong"/>
        </w:rPr>
        <w:t>Remember:</w:t>
      </w:r>
      <w:r>
        <w:t xml:space="preserve"> Each test question makes it onto the test because it has a unique purpose tied to measuring a student’s skill related to at least one of the course learning objectives.</w:t>
      </w:r>
    </w:p>
    <w:p w14:paraId="09F91274" w14:textId="4ADC0D87" w:rsidR="0062661E" w:rsidRPr="00B3668C" w:rsidRDefault="0062661E" w:rsidP="0062661E">
      <w:pPr>
        <w:pStyle w:val="Bulletlist1"/>
        <w:numPr>
          <w:ilvl w:val="0"/>
          <w:numId w:val="43"/>
        </w:numPr>
        <w:rPr>
          <w:rStyle w:val="Strong"/>
          <w:b w:val="0"/>
          <w:bCs w:val="0"/>
        </w:rPr>
      </w:pPr>
      <w:r w:rsidRPr="0062661E">
        <w:rPr>
          <w:rStyle w:val="Strong"/>
        </w:rPr>
        <w:t>Where during the course was the student taught (and led to practice) the skill this question tests or addresses?</w:t>
      </w:r>
      <w:r>
        <w:rPr>
          <w:rStyle w:val="Strong"/>
        </w:rPr>
        <w:t xml:space="preserve"> </w:t>
      </w:r>
    </w:p>
    <w:p w14:paraId="09A57B62" w14:textId="6B96949F" w:rsidR="0062661E" w:rsidRDefault="0062661E" w:rsidP="00B3668C">
      <w:pPr>
        <w:pStyle w:val="Bulletlist1"/>
      </w:pPr>
      <w:r w:rsidRPr="0062661E">
        <w:rPr>
          <w:rStyle w:val="Strong"/>
        </w:rPr>
        <w:t>Remember:</w:t>
      </w:r>
      <w:r>
        <w:t xml:space="preserve"> The purpose of a test is not to trick, confuse, or introduce new material.</w:t>
      </w:r>
      <w:r w:rsidR="00B3668C">
        <w:t xml:space="preserve"> </w:t>
      </w:r>
      <w:r>
        <w:t>Rather, a test simulates similar practice already done with the guidance of the instructor and classmates during the course, but now done alone by the student</w:t>
      </w:r>
    </w:p>
    <w:p w14:paraId="0B4C0A8C" w14:textId="77777777" w:rsidR="00B3668C" w:rsidRPr="00B3668C" w:rsidRDefault="00B3668C" w:rsidP="00B3668C">
      <w:pPr>
        <w:pStyle w:val="Bulletlist1"/>
        <w:numPr>
          <w:ilvl w:val="0"/>
          <w:numId w:val="43"/>
        </w:numPr>
        <w:rPr>
          <w:rStyle w:val="Strong"/>
          <w:b w:val="0"/>
          <w:bCs w:val="0"/>
        </w:rPr>
      </w:pPr>
      <w:r w:rsidRPr="0062661E">
        <w:rPr>
          <w:rStyle w:val="Strong"/>
        </w:rPr>
        <w:t>Can a student with subject knowledge but minimal reading skills still answer this question?</w:t>
      </w:r>
    </w:p>
    <w:p w14:paraId="59C1CCCB" w14:textId="75936EB9" w:rsidR="00B3668C" w:rsidRDefault="00B3668C" w:rsidP="00B3668C">
      <w:pPr>
        <w:pStyle w:val="Bulletlist1"/>
        <w:numPr>
          <w:ilvl w:val="0"/>
          <w:numId w:val="49"/>
        </w:numPr>
      </w:pPr>
      <w:r w:rsidRPr="00B3668C">
        <w:rPr>
          <w:rStyle w:val="Strong"/>
        </w:rPr>
        <w:t>Remember:</w:t>
      </w:r>
      <w:r w:rsidRPr="00B3668C">
        <w:rPr>
          <w:rStyle w:val="BodyTextChar"/>
        </w:rPr>
        <w:t xml:space="preserve"> Test questions should not also be tests of reading comprehension or cultural comprehension, unless those two skills are actually course learning objectives.</w:t>
      </w:r>
      <w:r>
        <w:rPr>
          <w:rStyle w:val="BodyTextChar"/>
        </w:rPr>
        <w:t xml:space="preserve"> </w:t>
      </w:r>
      <w:r w:rsidRPr="00B3668C">
        <w:rPr>
          <w:rStyle w:val="BodyTextChar"/>
        </w:rPr>
        <w:t>A student who knows the answer should not be unfairly hindered by unfamiliar or cumbersome language in</w:t>
      </w:r>
      <w:r>
        <w:t xml:space="preserve"> the question. Similarly, students with </w:t>
      </w:r>
      <w:r>
        <w:lastRenderedPageBreak/>
        <w:t>different cultural backgrounds and experiences should not be put at a disadvantage due to unfamiliar or undefined references in the question.</w:t>
      </w:r>
    </w:p>
    <w:p w14:paraId="6299B18E" w14:textId="77777777" w:rsidR="00B3668C" w:rsidRDefault="00B3668C" w:rsidP="00B3668C">
      <w:pPr>
        <w:pStyle w:val="Bulletlist1"/>
        <w:numPr>
          <w:ilvl w:val="0"/>
          <w:numId w:val="0"/>
        </w:numPr>
        <w:ind w:left="1080"/>
      </w:pPr>
    </w:p>
    <w:p w14:paraId="1BA6B907" w14:textId="328366F7" w:rsidR="00FB6A5D" w:rsidRPr="00361028" w:rsidRDefault="00ED05F3" w:rsidP="00B3668C">
      <w:pPr>
        <w:pStyle w:val="Bulletlist1"/>
        <w:numPr>
          <w:ilvl w:val="0"/>
          <w:numId w:val="0"/>
        </w:numPr>
        <w:ind w:left="1080"/>
      </w:pPr>
      <w:r>
        <w:t>Adapted from: Horton, W. (2012). Tests.</w:t>
      </w:r>
      <w:r w:rsidR="00B3668C">
        <w:t xml:space="preserve"> </w:t>
      </w:r>
      <w:r>
        <w:t>In E-Learning by Design (pp. 215-284). San Francisco, CA: Pfeiffer.</w:t>
      </w:r>
    </w:p>
    <w:sectPr w:rsidR="00FB6A5D" w:rsidRPr="00361028">
      <w:footerReference w:type="first" r:id="rId10"/>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17C60" w14:textId="77777777" w:rsidR="00105605" w:rsidRDefault="00105605">
      <w:r>
        <w:separator/>
      </w:r>
    </w:p>
  </w:endnote>
  <w:endnote w:type="continuationSeparator" w:id="0">
    <w:p w14:paraId="588D93BB" w14:textId="77777777" w:rsidR="00105605" w:rsidRDefault="0010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 Book">
    <w:altName w:val="Calibri"/>
    <w:panose1 w:val="020B06040202020202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7C791"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420FBCF9" w14:textId="77777777" w:rsidR="00B71CD1" w:rsidRDefault="000D6F02">
    <w:r>
      <w:rPr>
        <w:noProof/>
      </w:rPr>
      <w:drawing>
        <wp:inline distT="114300" distB="114300" distL="114300" distR="114300" wp14:anchorId="007B4BB5" wp14:editId="1514105C">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8FFCD" w14:textId="77777777" w:rsidR="00105605" w:rsidRDefault="00105605">
      <w:r>
        <w:separator/>
      </w:r>
    </w:p>
  </w:footnote>
  <w:footnote w:type="continuationSeparator" w:id="0">
    <w:p w14:paraId="3288D498" w14:textId="77777777" w:rsidR="00105605" w:rsidRDefault="00105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3671A4"/>
    <w:multiLevelType w:val="hybridMultilevel"/>
    <w:tmpl w:val="F04C11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6B086D"/>
    <w:multiLevelType w:val="hybridMultilevel"/>
    <w:tmpl w:val="7FA8D882"/>
    <w:lvl w:ilvl="0" w:tplc="F6FE0058">
      <w:start w:val="1"/>
      <w:numFmt w:val="bullet"/>
      <w:pStyle w:val="Bulletlist1"/>
      <w:lvlText w:val=""/>
      <w:lvlJc w:val="left"/>
      <w:pPr>
        <w:ind w:left="1440" w:hanging="360"/>
      </w:pPr>
      <w:rPr>
        <w:rFonts w:ascii="Symbol" w:hAnsi="Symbol" w:hint="default"/>
      </w:rPr>
    </w:lvl>
    <w:lvl w:ilvl="1" w:tplc="9012AE28">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7BE2271"/>
    <w:multiLevelType w:val="hybridMultilevel"/>
    <w:tmpl w:val="FEF807B4"/>
    <w:lvl w:ilvl="0" w:tplc="0409000F">
      <w:start w:val="1"/>
      <w:numFmt w:val="decimal"/>
      <w:lvlText w:val="%1."/>
      <w:lvlJc w:val="left"/>
      <w:pPr>
        <w:ind w:left="1080" w:hanging="360"/>
      </w:pPr>
      <w:rPr>
        <w:rFonts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663B9"/>
    <w:multiLevelType w:val="hybridMultilevel"/>
    <w:tmpl w:val="F57AF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4E69F3"/>
    <w:multiLevelType w:val="hybridMultilevel"/>
    <w:tmpl w:val="B416451A"/>
    <w:lvl w:ilvl="0" w:tplc="5450D5B8">
      <w:start w:val="1"/>
      <w:numFmt w:val="decimal"/>
      <w:lvlText w:val="%1)"/>
      <w:lvlJc w:val="left"/>
      <w:pPr>
        <w:ind w:left="360" w:hanging="216"/>
      </w:pPr>
      <w:rPr>
        <w:rFonts w:hint="default"/>
      </w:rPr>
    </w:lvl>
    <w:lvl w:ilvl="1" w:tplc="F3EE81EC">
      <w:start w:val="1"/>
      <w:numFmt w:val="bullet"/>
      <w:lvlText w:val=""/>
      <w:lvlJc w:val="left"/>
      <w:pPr>
        <w:ind w:left="720" w:hanging="360"/>
      </w:pPr>
      <w:rPr>
        <w:rFonts w:ascii="Wingdings" w:hAnsi="Wingdings" w:hint="default"/>
        <w:color w:val="9B12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4"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7A66BA"/>
    <w:multiLevelType w:val="hybridMultilevel"/>
    <w:tmpl w:val="8864F2B6"/>
    <w:lvl w:ilvl="0" w:tplc="5450D5B8">
      <w:start w:val="1"/>
      <w:numFmt w:val="decimal"/>
      <w:lvlText w:val="%1)"/>
      <w:lvlJc w:val="left"/>
      <w:pPr>
        <w:ind w:left="360" w:hanging="216"/>
      </w:pPr>
      <w:rPr>
        <w:rFonts w:hint="default"/>
      </w:rPr>
    </w:lvl>
    <w:lvl w:ilvl="1" w:tplc="549C4AE4">
      <w:start w:val="1"/>
      <w:numFmt w:val="bullet"/>
      <w:lvlText w:val=""/>
      <w:lvlJc w:val="left"/>
      <w:pPr>
        <w:ind w:left="720" w:hanging="360"/>
      </w:pPr>
      <w:rPr>
        <w:rFonts w:ascii="Wingdings" w:hAnsi="Wingdings" w:hint="default"/>
        <w:color w:val="9B12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F8004B"/>
    <w:multiLevelType w:val="hybridMultilevel"/>
    <w:tmpl w:val="C3FE6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5"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7" w15:restartNumberingAfterBreak="0">
    <w:nsid w:val="7F3C7141"/>
    <w:multiLevelType w:val="hybridMultilevel"/>
    <w:tmpl w:val="2250D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22"/>
  </w:num>
  <w:num w:numId="4">
    <w:abstractNumId w:val="29"/>
  </w:num>
  <w:num w:numId="5">
    <w:abstractNumId w:val="30"/>
  </w:num>
  <w:num w:numId="6">
    <w:abstractNumId w:val="39"/>
  </w:num>
  <w:num w:numId="7">
    <w:abstractNumId w:val="45"/>
  </w:num>
  <w:num w:numId="8">
    <w:abstractNumId w:val="18"/>
  </w:num>
  <w:num w:numId="9">
    <w:abstractNumId w:val="40"/>
  </w:num>
  <w:num w:numId="10">
    <w:abstractNumId w:val="33"/>
  </w:num>
  <w:num w:numId="11">
    <w:abstractNumId w:val="27"/>
  </w:num>
  <w:num w:numId="12">
    <w:abstractNumId w:val="25"/>
  </w:num>
  <w:num w:numId="13">
    <w:abstractNumId w:val="31"/>
  </w:num>
  <w:num w:numId="14">
    <w:abstractNumId w:val="20"/>
  </w:num>
  <w:num w:numId="15">
    <w:abstractNumId w:val="10"/>
  </w:num>
  <w:num w:numId="16">
    <w:abstractNumId w:val="10"/>
  </w:num>
  <w:num w:numId="17">
    <w:abstractNumId w:val="38"/>
  </w:num>
  <w:num w:numId="18">
    <w:abstractNumId w:val="34"/>
  </w:num>
  <w:num w:numId="19">
    <w:abstractNumId w:val="16"/>
  </w:num>
  <w:num w:numId="20">
    <w:abstractNumId w:val="24"/>
  </w:num>
  <w:num w:numId="21">
    <w:abstractNumId w:val="26"/>
  </w:num>
  <w:num w:numId="22">
    <w:abstractNumId w:val="17"/>
  </w:num>
  <w:num w:numId="23">
    <w:abstractNumId w:val="35"/>
  </w:num>
  <w:num w:numId="24">
    <w:abstractNumId w:val="12"/>
  </w:num>
  <w:num w:numId="25">
    <w:abstractNumId w:val="36"/>
  </w:num>
  <w:num w:numId="26">
    <w:abstractNumId w:val="41"/>
  </w:num>
  <w:num w:numId="27">
    <w:abstractNumId w:val="44"/>
  </w:num>
  <w:num w:numId="28">
    <w:abstractNumId w:val="13"/>
  </w:num>
  <w:num w:numId="29">
    <w:abstractNumId w:val="42"/>
  </w:num>
  <w:num w:numId="30">
    <w:abstractNumId w:val="19"/>
  </w:num>
  <w:num w:numId="31">
    <w:abstractNumId w:val="46"/>
  </w:num>
  <w:num w:numId="32">
    <w:abstractNumId w:val="21"/>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 w:numId="43">
    <w:abstractNumId w:val="23"/>
  </w:num>
  <w:num w:numId="44">
    <w:abstractNumId w:val="11"/>
  </w:num>
  <w:num w:numId="45">
    <w:abstractNumId w:val="37"/>
  </w:num>
  <w:num w:numId="46">
    <w:abstractNumId w:val="43"/>
  </w:num>
  <w:num w:numId="47">
    <w:abstractNumId w:val="28"/>
  </w:num>
  <w:num w:numId="48">
    <w:abstractNumId w:val="32"/>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5F3"/>
    <w:rsid w:val="00001DAE"/>
    <w:rsid w:val="00036BD5"/>
    <w:rsid w:val="000650AB"/>
    <w:rsid w:val="000803A4"/>
    <w:rsid w:val="0008678D"/>
    <w:rsid w:val="00090D3E"/>
    <w:rsid w:val="000A4592"/>
    <w:rsid w:val="000D279A"/>
    <w:rsid w:val="000D6F02"/>
    <w:rsid w:val="00101C3F"/>
    <w:rsid w:val="00103126"/>
    <w:rsid w:val="00105605"/>
    <w:rsid w:val="00147BD0"/>
    <w:rsid w:val="001506F8"/>
    <w:rsid w:val="00166699"/>
    <w:rsid w:val="00172352"/>
    <w:rsid w:val="00177A62"/>
    <w:rsid w:val="00182BCC"/>
    <w:rsid w:val="001D4ECA"/>
    <w:rsid w:val="001F0B8A"/>
    <w:rsid w:val="00203004"/>
    <w:rsid w:val="00216366"/>
    <w:rsid w:val="00247865"/>
    <w:rsid w:val="00276642"/>
    <w:rsid w:val="00296E72"/>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2661E"/>
    <w:rsid w:val="00630F6B"/>
    <w:rsid w:val="006431D8"/>
    <w:rsid w:val="00655A09"/>
    <w:rsid w:val="006661C6"/>
    <w:rsid w:val="00667254"/>
    <w:rsid w:val="00670873"/>
    <w:rsid w:val="00687871"/>
    <w:rsid w:val="0071143C"/>
    <w:rsid w:val="00737B1B"/>
    <w:rsid w:val="00781A9F"/>
    <w:rsid w:val="00786E8B"/>
    <w:rsid w:val="00796F54"/>
    <w:rsid w:val="007C29DF"/>
    <w:rsid w:val="007E4E36"/>
    <w:rsid w:val="007F6055"/>
    <w:rsid w:val="007F7DF8"/>
    <w:rsid w:val="00803813"/>
    <w:rsid w:val="00814537"/>
    <w:rsid w:val="00836C41"/>
    <w:rsid w:val="0084403C"/>
    <w:rsid w:val="00844390"/>
    <w:rsid w:val="0084634A"/>
    <w:rsid w:val="00873042"/>
    <w:rsid w:val="00881CC3"/>
    <w:rsid w:val="008C1092"/>
    <w:rsid w:val="008E30B9"/>
    <w:rsid w:val="008E7E63"/>
    <w:rsid w:val="00913D0C"/>
    <w:rsid w:val="00966688"/>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3668C"/>
    <w:rsid w:val="00B46E52"/>
    <w:rsid w:val="00B668B6"/>
    <w:rsid w:val="00B71CD1"/>
    <w:rsid w:val="00BA00CB"/>
    <w:rsid w:val="00BB7ABA"/>
    <w:rsid w:val="00BE7065"/>
    <w:rsid w:val="00BF004C"/>
    <w:rsid w:val="00BF0E1C"/>
    <w:rsid w:val="00BF1CAA"/>
    <w:rsid w:val="00C16E84"/>
    <w:rsid w:val="00C2381D"/>
    <w:rsid w:val="00C24BE6"/>
    <w:rsid w:val="00C3702D"/>
    <w:rsid w:val="00CC3ABF"/>
    <w:rsid w:val="00CC785F"/>
    <w:rsid w:val="00D057E1"/>
    <w:rsid w:val="00D20635"/>
    <w:rsid w:val="00D51B58"/>
    <w:rsid w:val="00D637B2"/>
    <w:rsid w:val="00D9624B"/>
    <w:rsid w:val="00DA6750"/>
    <w:rsid w:val="00DB0FA5"/>
    <w:rsid w:val="00DB1C54"/>
    <w:rsid w:val="00DE047B"/>
    <w:rsid w:val="00E058BD"/>
    <w:rsid w:val="00E21E2C"/>
    <w:rsid w:val="00E65E67"/>
    <w:rsid w:val="00E7672B"/>
    <w:rsid w:val="00E91E48"/>
    <w:rsid w:val="00EB781B"/>
    <w:rsid w:val="00ED05F3"/>
    <w:rsid w:val="00ED4591"/>
    <w:rsid w:val="00ED77C4"/>
    <w:rsid w:val="00EF4D08"/>
    <w:rsid w:val="00F30D10"/>
    <w:rsid w:val="00F44638"/>
    <w:rsid w:val="00F85D29"/>
    <w:rsid w:val="00F93066"/>
    <w:rsid w:val="00FA48C0"/>
    <w:rsid w:val="00FB632A"/>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206F"/>
  <w15:docId w15:val="{270940D2-6706-3F4C-8E48-D50D5E49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table" w:styleId="TableGrid">
    <w:name w:val="Table Grid"/>
    <w:basedOn w:val="TableNormal"/>
    <w:uiPriority w:val="39"/>
    <w:rsid w:val="00ED0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61E"/>
    <w:pPr>
      <w:ind w:left="720"/>
      <w:contextualSpacing/>
      <w:textAlignment w:val="baseline"/>
    </w:pPr>
    <w:rPr>
      <w:rFonts w:ascii="National Book" w:eastAsiaTheme="minorEastAsia" w:hAnsi="National Book" w:cs="Arial"/>
      <w:color w:val="000000"/>
      <w:sz w:val="22"/>
      <w:szCs w:val="22"/>
    </w:rPr>
  </w:style>
  <w:style w:type="character" w:styleId="UnresolvedMention">
    <w:name w:val="Unresolved Mention"/>
    <w:basedOn w:val="DefaultParagraphFont"/>
    <w:uiPriority w:val="99"/>
    <w:semiHidden/>
    <w:unhideWhenUsed/>
    <w:rsid w:val="00B3668C"/>
    <w:rPr>
      <w:color w:val="605E5C"/>
      <w:shd w:val="clear" w:color="auto" w:fill="E1DFDD"/>
    </w:rPr>
  </w:style>
  <w:style w:type="paragraph" w:styleId="Caption">
    <w:name w:val="caption"/>
    <w:basedOn w:val="Normal"/>
    <w:next w:val="Normal"/>
    <w:uiPriority w:val="35"/>
    <w:unhideWhenUsed/>
    <w:qFormat/>
    <w:rsid w:val="00836C4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et.us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0</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2</cp:revision>
  <dcterms:created xsi:type="dcterms:W3CDTF">2021-08-10T00:08:00Z</dcterms:created>
  <dcterms:modified xsi:type="dcterms:W3CDTF">2021-08-10T00:08:00Z</dcterms:modified>
</cp:coreProperties>
</file>