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FDF6" w14:textId="77777777" w:rsidR="00276642" w:rsidRDefault="000D6F02" w:rsidP="009C4CBC">
      <w:pPr>
        <w:pStyle w:val="BodyText"/>
        <w:tabs>
          <w:tab w:val="left" w:pos="8820"/>
        </w:tabs>
      </w:pPr>
      <w:r>
        <w:rPr>
          <w:noProof/>
        </w:rPr>
        <w:drawing>
          <wp:inline distT="114300" distB="114300" distL="114300" distR="114300" wp14:anchorId="7663D367" wp14:editId="6EB21A5D">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7454CE02" w14:textId="1CD5DE20" w:rsidR="0044784D" w:rsidRDefault="0044784D" w:rsidP="0044784D">
      <w:pPr>
        <w:pStyle w:val="Heading1"/>
      </w:pPr>
      <w:r>
        <w:t>Teaching statement evaluation guide</w:t>
      </w:r>
    </w:p>
    <w:p w14:paraId="282A8368" w14:textId="321B22C1" w:rsidR="0044784D" w:rsidRDefault="0044784D" w:rsidP="0044784D">
      <w:pPr>
        <w:pStyle w:val="BodyText"/>
      </w:pPr>
      <w:r>
        <w:t>Use of this specific tool is not required by USC administration; it is intended as an example of best practices. Schools and departments may choose to create their own tool, edit this tool in any way that makes it a better fit, or use this tool as it is.</w:t>
      </w:r>
    </w:p>
    <w:p w14:paraId="0200068D" w14:textId="77777777" w:rsidR="0044784D" w:rsidRPr="0044784D" w:rsidRDefault="0044784D" w:rsidP="0044784D">
      <w:pPr>
        <w:pStyle w:val="Heading2"/>
      </w:pPr>
      <w:r w:rsidRPr="0044784D">
        <w:t>WHAT IS THIS RESOURCE?</w:t>
      </w:r>
    </w:p>
    <w:p w14:paraId="0A17B8D4" w14:textId="56112545" w:rsidR="0044784D" w:rsidRDefault="0044784D" w:rsidP="0044784D">
      <w:pPr>
        <w:pStyle w:val="BodyText"/>
      </w:pPr>
      <w:r>
        <w:t>A teaching statement is a written reflection by a faculty member on their teaching experience. This document is a guide for reviewing a faculty peer’s teaching statement. The guide can be adjusted to accommodate school-specific requirements. Faculty preparing their teaching statements for review should have access to the associated template prior to their statement submission.</w:t>
      </w:r>
    </w:p>
    <w:p w14:paraId="4B1A5B81" w14:textId="77777777" w:rsidR="0044784D" w:rsidRDefault="0044784D" w:rsidP="0044784D">
      <w:pPr>
        <w:pStyle w:val="Heading2"/>
      </w:pPr>
      <w:r>
        <w:t>HOW DO I USE IT?</w:t>
      </w:r>
    </w:p>
    <w:p w14:paraId="115B93BC" w14:textId="497D7C23" w:rsidR="0044784D" w:rsidRDefault="0044784D" w:rsidP="0044784D">
      <w:pPr>
        <w:pStyle w:val="BodyText"/>
      </w:pPr>
      <w:r>
        <w:t xml:space="preserve">If an element is included in the teaching statement you are reviewing, check it off and use the comment box to offer feedback on how well that element is addressed. For assistance, please </w:t>
      </w:r>
      <w:hyperlink r:id="rId9" w:history="1">
        <w:r w:rsidRPr="00F21BAA">
          <w:rPr>
            <w:rStyle w:val="Hyperlink"/>
          </w:rPr>
          <w:t>contact CET</w:t>
        </w:r>
      </w:hyperlink>
      <w:r w:rsidR="00F21BAA">
        <w:t>.</w:t>
      </w:r>
    </w:p>
    <w:p w14:paraId="744E62CE" w14:textId="2F6D03EA" w:rsidR="0044784D" w:rsidRDefault="0044784D" w:rsidP="0044784D">
      <w:pPr>
        <w:pStyle w:val="BodyText"/>
      </w:pPr>
      <w:r>
        <w:t>The Teaching Statement expectations can be varied over a three-year cycle to eliminate redundancy and address a broader scope of reflection. Possible variations over a three-year cycle are suggested below.</w:t>
      </w:r>
    </w:p>
    <w:p w14:paraId="7E316CE6" w14:textId="166E4074" w:rsidR="0044784D" w:rsidRPr="0044784D" w:rsidRDefault="0044784D" w:rsidP="0044784D">
      <w:pPr>
        <w:pStyle w:val="Heading3"/>
      </w:pPr>
      <w:r>
        <w:t xml:space="preserve">The </w:t>
      </w:r>
      <w:r w:rsidR="00C84908">
        <w:t>t</w:t>
      </w:r>
      <w:r>
        <w:t xml:space="preserve">eaching </w:t>
      </w:r>
      <w:r w:rsidR="00C84908">
        <w:t>s</w:t>
      </w:r>
      <w:r>
        <w:t>tatement</w:t>
      </w:r>
    </w:p>
    <w:p w14:paraId="2AAD8178" w14:textId="5C045E71" w:rsidR="0044784D" w:rsidRDefault="0044784D" w:rsidP="0044784D">
      <w:pPr>
        <w:pStyle w:val="Bulletlist1"/>
      </w:pPr>
      <w:r>
        <w:t>1. Communicates instructor’s measurable goals from the previous academic year</w:t>
      </w:r>
      <w:r w:rsidR="006F2BF7">
        <w:t>.</w:t>
      </w:r>
    </w:p>
    <w:p w14:paraId="5CA48B31" w14:textId="3E4E64E6" w:rsidR="0044784D" w:rsidRPr="0044784D" w:rsidRDefault="0044784D" w:rsidP="0044784D">
      <w:pPr>
        <w:pStyle w:val="Bulletlist1"/>
        <w:numPr>
          <w:ilvl w:val="0"/>
          <w:numId w:val="0"/>
        </w:numPr>
        <w:ind w:left="1080"/>
        <w:rPr>
          <w:rStyle w:val="Strong"/>
        </w:rPr>
      </w:pPr>
      <w:r w:rsidRPr="0044784D">
        <w:rPr>
          <w:rStyle w:val="Strong"/>
        </w:rPr>
        <w:t>Comments:</w:t>
      </w:r>
    </w:p>
    <w:p w14:paraId="5D4CA4DF" w14:textId="159A5039" w:rsidR="0044784D" w:rsidRDefault="0044784D" w:rsidP="0044784D">
      <w:pPr>
        <w:pStyle w:val="Bulletlist1"/>
      </w:pPr>
      <w:r>
        <w:t>2. Provides specific examples of teaching practices that support the instructor’s goals above, including</w:t>
      </w:r>
      <w:r w:rsidR="006F2BF7">
        <w:t>:</w:t>
      </w:r>
    </w:p>
    <w:p w14:paraId="605DD567" w14:textId="043BFA35" w:rsidR="0044784D" w:rsidRDefault="0044784D" w:rsidP="0044784D">
      <w:pPr>
        <w:pStyle w:val="Bulletlist1"/>
        <w:numPr>
          <w:ilvl w:val="0"/>
          <w:numId w:val="44"/>
        </w:numPr>
      </w:pPr>
      <w:r>
        <w:t>Year 1: active-learning strategies</w:t>
      </w:r>
      <w:r w:rsidR="006F2BF7">
        <w:t>.</w:t>
      </w:r>
    </w:p>
    <w:p w14:paraId="0AD0BAD2" w14:textId="0BFA80B3" w:rsidR="0044784D" w:rsidRDefault="0044784D" w:rsidP="0044784D">
      <w:pPr>
        <w:pStyle w:val="Bulletlist1"/>
        <w:numPr>
          <w:ilvl w:val="0"/>
          <w:numId w:val="44"/>
        </w:numPr>
      </w:pPr>
      <w:r>
        <w:t>Year 2: key assignments/assessments</w:t>
      </w:r>
      <w:r w:rsidR="006F2BF7">
        <w:t>.</w:t>
      </w:r>
    </w:p>
    <w:p w14:paraId="24E90973" w14:textId="24280468" w:rsidR="0044784D" w:rsidRDefault="0044784D" w:rsidP="0044784D">
      <w:pPr>
        <w:pStyle w:val="Bulletlist1"/>
        <w:numPr>
          <w:ilvl w:val="0"/>
          <w:numId w:val="44"/>
        </w:numPr>
      </w:pPr>
      <w:r>
        <w:t>Year 3: course materials</w:t>
      </w:r>
      <w:r w:rsidR="006F2BF7">
        <w:t>.</w:t>
      </w:r>
    </w:p>
    <w:p w14:paraId="65645E87" w14:textId="2EA7F6AF" w:rsidR="0044784D" w:rsidRPr="0044784D" w:rsidRDefault="0044784D" w:rsidP="0044784D">
      <w:pPr>
        <w:pStyle w:val="Bulletlist1"/>
        <w:numPr>
          <w:ilvl w:val="0"/>
          <w:numId w:val="0"/>
        </w:numPr>
        <w:ind w:left="1080"/>
        <w:rPr>
          <w:rStyle w:val="Strong"/>
          <w:b w:val="0"/>
          <w:bCs w:val="0"/>
        </w:rPr>
      </w:pPr>
      <w:r w:rsidRPr="0044784D">
        <w:rPr>
          <w:rStyle w:val="Strong"/>
        </w:rPr>
        <w:t>Comments:</w:t>
      </w:r>
    </w:p>
    <w:p w14:paraId="568B5BB3" w14:textId="7CAF650C" w:rsidR="0044784D" w:rsidRDefault="0044784D" w:rsidP="0044784D">
      <w:pPr>
        <w:pStyle w:val="Bulletlist1"/>
      </w:pPr>
      <w:r>
        <w:t>3. Points to clear, concise evidence of whether goals were accomplished, and lessons learned</w:t>
      </w:r>
      <w:r w:rsidR="006F2BF7">
        <w:t>.</w:t>
      </w:r>
    </w:p>
    <w:p w14:paraId="42296789" w14:textId="77777777" w:rsidR="0044784D" w:rsidRDefault="0044784D" w:rsidP="0044784D">
      <w:pPr>
        <w:pStyle w:val="Bulletlist1"/>
        <w:numPr>
          <w:ilvl w:val="0"/>
          <w:numId w:val="0"/>
        </w:numPr>
        <w:ind w:left="1080"/>
        <w:rPr>
          <w:rStyle w:val="Strong"/>
        </w:rPr>
      </w:pPr>
      <w:r w:rsidRPr="0044784D">
        <w:rPr>
          <w:rStyle w:val="Strong"/>
        </w:rPr>
        <w:t>Comments:</w:t>
      </w:r>
    </w:p>
    <w:p w14:paraId="0DEF6E6C" w14:textId="21D0B859" w:rsidR="0044784D" w:rsidRPr="0044784D" w:rsidRDefault="0044784D" w:rsidP="0044784D">
      <w:pPr>
        <w:pStyle w:val="Bulletlist1"/>
        <w:rPr>
          <w:b/>
          <w:bCs/>
        </w:rPr>
      </w:pPr>
      <w:r>
        <w:lastRenderedPageBreak/>
        <w:t>4. Describes how the instructor’s teaching practices align with and support</w:t>
      </w:r>
      <w:r w:rsidR="006F2BF7">
        <w:t>.</w:t>
      </w:r>
    </w:p>
    <w:p w14:paraId="11BD2AD4" w14:textId="5543B702" w:rsidR="0044784D" w:rsidRPr="0044784D" w:rsidRDefault="0044784D" w:rsidP="0044784D">
      <w:pPr>
        <w:pStyle w:val="Bulletlist1"/>
        <w:numPr>
          <w:ilvl w:val="0"/>
          <w:numId w:val="45"/>
        </w:numPr>
      </w:pPr>
      <w:r>
        <w:t>Y</w:t>
      </w:r>
      <w:r w:rsidRPr="0044784D">
        <w:t xml:space="preserve">ear 1: their school’s definition of teaching excellence and/or </w:t>
      </w:r>
      <w:hyperlink r:id="rId10" w:history="1">
        <w:r w:rsidRPr="00923733">
          <w:rPr>
            <w:rStyle w:val="Hyperlink"/>
          </w:rPr>
          <w:t>USC’s Definition of Excellence in Teaching</w:t>
        </w:r>
      </w:hyperlink>
      <w:r w:rsidR="006F2BF7">
        <w:t>.</w:t>
      </w:r>
    </w:p>
    <w:p w14:paraId="2120CAD4" w14:textId="6AC766AA" w:rsidR="0044784D" w:rsidRPr="0044784D" w:rsidRDefault="0044784D" w:rsidP="0044784D">
      <w:pPr>
        <w:pStyle w:val="Bulletlist1"/>
        <w:numPr>
          <w:ilvl w:val="0"/>
          <w:numId w:val="45"/>
        </w:numPr>
      </w:pPr>
      <w:r w:rsidRPr="0044784D">
        <w:t>Year 2: their school’s mission statement</w:t>
      </w:r>
      <w:r w:rsidR="006F2BF7">
        <w:t>.</w:t>
      </w:r>
    </w:p>
    <w:p w14:paraId="1CDCDA88" w14:textId="7D10061C" w:rsidR="0044784D" w:rsidRDefault="0044784D" w:rsidP="0044784D">
      <w:pPr>
        <w:pStyle w:val="Bulletlist1"/>
        <w:numPr>
          <w:ilvl w:val="0"/>
          <w:numId w:val="45"/>
        </w:numPr>
      </w:pPr>
      <w:r w:rsidRPr="0044784D">
        <w:t>Year 3: their school’s Diversity and Inclusion Plan</w:t>
      </w:r>
      <w:r w:rsidR="006F2BF7">
        <w:t>.</w:t>
      </w:r>
    </w:p>
    <w:p w14:paraId="055BE459" w14:textId="77777777" w:rsidR="0044784D" w:rsidRPr="0044784D" w:rsidRDefault="0044784D" w:rsidP="0044784D">
      <w:pPr>
        <w:pStyle w:val="Bulletlist1"/>
        <w:numPr>
          <w:ilvl w:val="0"/>
          <w:numId w:val="0"/>
        </w:numPr>
        <w:ind w:left="1080"/>
        <w:rPr>
          <w:rStyle w:val="Strong"/>
        </w:rPr>
      </w:pPr>
      <w:r w:rsidRPr="0044784D">
        <w:rPr>
          <w:rStyle w:val="Strong"/>
        </w:rPr>
        <w:t>Comments:</w:t>
      </w:r>
    </w:p>
    <w:p w14:paraId="25828685" w14:textId="5F3CE208" w:rsidR="005D40CE" w:rsidRDefault="0044784D" w:rsidP="0044784D">
      <w:pPr>
        <w:pStyle w:val="Bulletlist1"/>
      </w:pPr>
      <w:r>
        <w:t>5. Articulates specific areas for improvement or changes to teaching practices based on student outcomes, USC Student Learning Experience Evaluation, or other data</w:t>
      </w:r>
      <w:r w:rsidR="006F2BF7">
        <w:t>.</w:t>
      </w:r>
    </w:p>
    <w:p w14:paraId="055CD7DC" w14:textId="77777777" w:rsidR="005D40CE" w:rsidRDefault="005D40CE" w:rsidP="005D40CE">
      <w:pPr>
        <w:pStyle w:val="Bulletlist1"/>
        <w:numPr>
          <w:ilvl w:val="0"/>
          <w:numId w:val="0"/>
        </w:numPr>
        <w:ind w:left="1080"/>
        <w:rPr>
          <w:rStyle w:val="Strong"/>
        </w:rPr>
      </w:pPr>
      <w:r w:rsidRPr="0044784D">
        <w:rPr>
          <w:rStyle w:val="Strong"/>
        </w:rPr>
        <w:t>Comments:</w:t>
      </w:r>
    </w:p>
    <w:p w14:paraId="486C3441" w14:textId="5F039B37" w:rsidR="005D40CE" w:rsidRDefault="005D40CE" w:rsidP="006F55AD">
      <w:pPr>
        <w:pStyle w:val="Bulletlist1"/>
        <w:rPr>
          <w:b/>
          <w:bCs/>
        </w:rPr>
      </w:pPr>
      <w:r>
        <w:t xml:space="preserve">6. </w:t>
      </w:r>
      <w:r w:rsidR="0044784D">
        <w:t>Delineates clear, concise, measurable goals for improving teaching practices for the next academic year aligned to stated areas for improvement</w:t>
      </w:r>
      <w:r w:rsidR="006F2BF7">
        <w:t>.</w:t>
      </w:r>
    </w:p>
    <w:p w14:paraId="322CA933" w14:textId="6FC47684" w:rsidR="00FB6A5D" w:rsidRPr="006F2BF7" w:rsidRDefault="005D40CE" w:rsidP="006F2BF7">
      <w:pPr>
        <w:pStyle w:val="Bulletlist1"/>
        <w:numPr>
          <w:ilvl w:val="0"/>
          <w:numId w:val="0"/>
        </w:numPr>
        <w:ind w:left="1080"/>
        <w:rPr>
          <w:b/>
          <w:bCs/>
        </w:rPr>
      </w:pPr>
      <w:r w:rsidRPr="0044784D">
        <w:rPr>
          <w:rStyle w:val="Strong"/>
        </w:rPr>
        <w:t>Comments:</w:t>
      </w:r>
    </w:p>
    <w:sectPr w:rsidR="00FB6A5D" w:rsidRPr="006F2BF7">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1CA4" w14:textId="77777777" w:rsidR="00D1287F" w:rsidRDefault="00D1287F">
      <w:r>
        <w:separator/>
      </w:r>
    </w:p>
  </w:endnote>
  <w:endnote w:type="continuationSeparator" w:id="0">
    <w:p w14:paraId="0A931BA1" w14:textId="77777777" w:rsidR="00D1287F" w:rsidRDefault="00D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AAF4"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49E1627" w14:textId="77777777" w:rsidR="00B71CD1" w:rsidRDefault="000D6F02">
    <w:r>
      <w:rPr>
        <w:noProof/>
      </w:rPr>
      <w:drawing>
        <wp:inline distT="114300" distB="114300" distL="114300" distR="114300" wp14:anchorId="068FD595" wp14:editId="57016827">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5E63" w14:textId="77777777" w:rsidR="00D1287F" w:rsidRDefault="00D1287F">
      <w:r>
        <w:separator/>
      </w:r>
    </w:p>
  </w:footnote>
  <w:footnote w:type="continuationSeparator" w:id="0">
    <w:p w14:paraId="13F4635C" w14:textId="77777777" w:rsidR="00D1287F" w:rsidRDefault="00D1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468pt;height:468pt" o:bullet="t">
        <v:imagedata r:id="rId1" o:title="square"/>
      </v:shape>
    </w:pict>
  </w:numPicBullet>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CD3B9E"/>
    <w:multiLevelType w:val="hybridMultilevel"/>
    <w:tmpl w:val="9FF05376"/>
    <w:lvl w:ilvl="0" w:tplc="04090001">
      <w:start w:val="1"/>
      <w:numFmt w:val="bullet"/>
      <w:lvlText w:val=""/>
      <w:lvlJc w:val="left"/>
      <w:pPr>
        <w:ind w:left="1800" w:hanging="360"/>
      </w:pPr>
      <w:rPr>
        <w:rFonts w:ascii="Symbol" w:hAnsi="Symbol" w:hint="default"/>
        <w:color w:val="auto"/>
      </w:rPr>
    </w:lvl>
    <w:lvl w:ilvl="1" w:tplc="9012AE2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891B65"/>
    <w:multiLevelType w:val="hybridMultilevel"/>
    <w:tmpl w:val="2B8CE894"/>
    <w:lvl w:ilvl="0" w:tplc="04090001">
      <w:start w:val="1"/>
      <w:numFmt w:val="bullet"/>
      <w:lvlText w:val=""/>
      <w:lvlJc w:val="left"/>
      <w:pPr>
        <w:ind w:left="1800" w:hanging="360"/>
      </w:pPr>
      <w:rPr>
        <w:rFonts w:ascii="Symbol" w:hAnsi="Symbol" w:hint="default"/>
        <w:color w:val="auto"/>
      </w:rPr>
    </w:lvl>
    <w:lvl w:ilvl="1" w:tplc="9012AE2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6B086D"/>
    <w:multiLevelType w:val="hybridMultilevel"/>
    <w:tmpl w:val="8C3204DA"/>
    <w:lvl w:ilvl="0" w:tplc="A60C8B1C">
      <w:start w:val="1"/>
      <w:numFmt w:val="bullet"/>
      <w:pStyle w:val="Bulletlist1"/>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2"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1"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6"/>
  </w:num>
  <w:num w:numId="2">
    <w:abstractNumId w:val="15"/>
  </w:num>
  <w:num w:numId="3">
    <w:abstractNumId w:val="23"/>
  </w:num>
  <w:num w:numId="4">
    <w:abstractNumId w:val="28"/>
  </w:num>
  <w:num w:numId="5">
    <w:abstractNumId w:val="29"/>
  </w:num>
  <w:num w:numId="6">
    <w:abstractNumId w:val="36"/>
  </w:num>
  <w:num w:numId="7">
    <w:abstractNumId w:val="41"/>
  </w:num>
  <w:num w:numId="8">
    <w:abstractNumId w:val="19"/>
  </w:num>
  <w:num w:numId="9">
    <w:abstractNumId w:val="37"/>
  </w:num>
  <w:num w:numId="10">
    <w:abstractNumId w:val="31"/>
  </w:num>
  <w:num w:numId="11">
    <w:abstractNumId w:val="27"/>
  </w:num>
  <w:num w:numId="12">
    <w:abstractNumId w:val="25"/>
  </w:num>
  <w:num w:numId="13">
    <w:abstractNumId w:val="30"/>
  </w:num>
  <w:num w:numId="14">
    <w:abstractNumId w:val="21"/>
  </w:num>
  <w:num w:numId="15">
    <w:abstractNumId w:val="10"/>
  </w:num>
  <w:num w:numId="16">
    <w:abstractNumId w:val="10"/>
  </w:num>
  <w:num w:numId="17">
    <w:abstractNumId w:val="35"/>
  </w:num>
  <w:num w:numId="18">
    <w:abstractNumId w:val="32"/>
  </w:num>
  <w:num w:numId="19">
    <w:abstractNumId w:val="17"/>
  </w:num>
  <w:num w:numId="20">
    <w:abstractNumId w:val="24"/>
  </w:num>
  <w:num w:numId="21">
    <w:abstractNumId w:val="26"/>
  </w:num>
  <w:num w:numId="22">
    <w:abstractNumId w:val="18"/>
  </w:num>
  <w:num w:numId="23">
    <w:abstractNumId w:val="33"/>
  </w:num>
  <w:num w:numId="24">
    <w:abstractNumId w:val="12"/>
  </w:num>
  <w:num w:numId="25">
    <w:abstractNumId w:val="34"/>
  </w:num>
  <w:num w:numId="26">
    <w:abstractNumId w:val="38"/>
  </w:num>
  <w:num w:numId="27">
    <w:abstractNumId w:val="40"/>
  </w:num>
  <w:num w:numId="28">
    <w:abstractNumId w:val="13"/>
  </w:num>
  <w:num w:numId="29">
    <w:abstractNumId w:val="39"/>
  </w:num>
  <w:num w:numId="30">
    <w:abstractNumId w:val="20"/>
  </w:num>
  <w:num w:numId="31">
    <w:abstractNumId w:val="42"/>
  </w:num>
  <w:num w:numId="32">
    <w:abstractNumId w:val="22"/>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22"/>
    <w:lvlOverride w:ilvl="0">
      <w:startOverride w:val="1"/>
    </w:lvlOverride>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4D"/>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4784D"/>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D40CE"/>
    <w:rsid w:val="005E790B"/>
    <w:rsid w:val="005F1B72"/>
    <w:rsid w:val="00612F7F"/>
    <w:rsid w:val="00614424"/>
    <w:rsid w:val="00630F6B"/>
    <w:rsid w:val="00655A09"/>
    <w:rsid w:val="006661C6"/>
    <w:rsid w:val="00667254"/>
    <w:rsid w:val="00670873"/>
    <w:rsid w:val="00687871"/>
    <w:rsid w:val="006F2BF7"/>
    <w:rsid w:val="006F55AD"/>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C654D"/>
    <w:rsid w:val="008E30B9"/>
    <w:rsid w:val="008E7E63"/>
    <w:rsid w:val="00913D0C"/>
    <w:rsid w:val="00923733"/>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04B73"/>
    <w:rsid w:val="00C16E84"/>
    <w:rsid w:val="00C2381D"/>
    <w:rsid w:val="00C24BE6"/>
    <w:rsid w:val="00C3702D"/>
    <w:rsid w:val="00C84908"/>
    <w:rsid w:val="00CC3ABF"/>
    <w:rsid w:val="00CC574D"/>
    <w:rsid w:val="00CC785F"/>
    <w:rsid w:val="00D057E1"/>
    <w:rsid w:val="00D1287F"/>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21BAA"/>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A23B"/>
  <w15:docId w15:val="{0F7BD7EC-B0D6-BE43-AEA3-76D33F70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F21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ccetstg.wpengine.com/about/usc-definition-of-excellence-in-teaching/" TargetMode="Externa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26</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Brandy Jenner</cp:lastModifiedBy>
  <cp:revision>6</cp:revision>
  <dcterms:created xsi:type="dcterms:W3CDTF">2021-06-14T09:17:00Z</dcterms:created>
  <dcterms:modified xsi:type="dcterms:W3CDTF">2021-12-01T17:44:00Z</dcterms:modified>
</cp:coreProperties>
</file>