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F5F6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12776936" wp14:editId="0A0BFA83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4382B" w14:textId="75908289" w:rsidR="001A35D7" w:rsidRDefault="001A35D7" w:rsidP="001A35D7">
      <w:pPr>
        <w:pStyle w:val="Heading1"/>
      </w:pPr>
      <w:r>
        <w:t>Supporting diverse student populations</w:t>
      </w:r>
    </w:p>
    <w:p w14:paraId="2FFBACAD" w14:textId="25A93E97" w:rsidR="001A35D7" w:rsidRPr="001A35D7" w:rsidRDefault="001A35D7" w:rsidP="001A35D7">
      <w:pPr>
        <w:pStyle w:val="Heading2"/>
      </w:pPr>
      <w:r w:rsidRPr="001A35D7">
        <w:t>WHAT IS THIS RESOURCE?</w:t>
      </w:r>
    </w:p>
    <w:p w14:paraId="651C47C8" w14:textId="77777777" w:rsidR="001A35D7" w:rsidRDefault="001A35D7" w:rsidP="001A35D7">
      <w:pPr>
        <w:pStyle w:val="BodyText"/>
      </w:pPr>
      <w:r>
        <w:t>An overview of the considerations relevant to supporting diverse student populations when designing a course, as well as important USC resources for support of diversity.</w:t>
      </w:r>
    </w:p>
    <w:p w14:paraId="1244F9A1" w14:textId="01409538" w:rsidR="001A35D7" w:rsidRPr="001A35D7" w:rsidRDefault="001A35D7" w:rsidP="001A35D7">
      <w:pPr>
        <w:pStyle w:val="Heading2"/>
      </w:pPr>
      <w:r w:rsidRPr="001A35D7">
        <w:t>HOW DO I USE IT?</w:t>
      </w:r>
    </w:p>
    <w:p w14:paraId="7B2956D3" w14:textId="6AD9D2D4" w:rsidR="001A35D7" w:rsidRDefault="001A35D7" w:rsidP="001A35D7">
      <w:pPr>
        <w:pStyle w:val="BodyText"/>
      </w:pPr>
      <w:r>
        <w:t xml:space="preserve">When designing a course, or revising an existing course, review the considerations listed to examine the course for areas where support for diverse student populations could be improved. For assistance, please </w:t>
      </w:r>
      <w:hyperlink r:id="rId9" w:history="1">
        <w:r w:rsidRPr="002F13AF">
          <w:rPr>
            <w:rStyle w:val="Hyperlink"/>
          </w:rPr>
          <w:t>contact CET</w:t>
        </w:r>
      </w:hyperlink>
      <w:r>
        <w:t>.</w:t>
      </w:r>
    </w:p>
    <w:p w14:paraId="7848B7A7" w14:textId="77777777" w:rsidR="001A35D7" w:rsidRPr="001A35D7" w:rsidRDefault="001A35D7" w:rsidP="001A35D7">
      <w:pPr>
        <w:pStyle w:val="Heading3"/>
      </w:pPr>
      <w:r w:rsidRPr="001A35D7">
        <w:t>Access</w:t>
      </w:r>
    </w:p>
    <w:p w14:paraId="18BA75E2" w14:textId="43ECB3E3" w:rsidR="001A35D7" w:rsidRDefault="001A35D7" w:rsidP="001A35D7">
      <w:pPr>
        <w:pStyle w:val="BodyText"/>
      </w:pPr>
      <w:r>
        <w:t>Access covers physical and process aspects. Typically, the institution provides most physical access resources for supporting diverse student populations, while the instructor has more control over the process.</w:t>
      </w:r>
    </w:p>
    <w:p w14:paraId="613C2641" w14:textId="66B091E9" w:rsidR="001A35D7" w:rsidRDefault="001A35D7" w:rsidP="001A35D7">
      <w:pPr>
        <w:pStyle w:val="BodyText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Access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ess"/>
        <w:tblDescription w:val="Two columns headers: physical and process. One row below each header listing three examples of physical and process aspects."/>
      </w:tblPr>
      <w:tblGrid>
        <w:gridCol w:w="4675"/>
        <w:gridCol w:w="4675"/>
      </w:tblGrid>
      <w:tr w:rsidR="001A35D7" w:rsidRPr="001A35D7" w14:paraId="43126F6E" w14:textId="77777777" w:rsidTr="001A35D7">
        <w:trPr>
          <w:cantSplit/>
          <w:tblHeader/>
        </w:trPr>
        <w:tc>
          <w:tcPr>
            <w:tcW w:w="4675" w:type="dxa"/>
            <w:shd w:val="clear" w:color="auto" w:fill="EEEEEE"/>
          </w:tcPr>
          <w:p w14:paraId="0F7800D1" w14:textId="70DA73FE" w:rsidR="001A35D7" w:rsidRPr="001A35D7" w:rsidRDefault="001A35D7" w:rsidP="001A35D7">
            <w:pPr>
              <w:pStyle w:val="Tabletext"/>
              <w:jc w:val="center"/>
              <w:rPr>
                <w:rStyle w:val="Strong"/>
              </w:rPr>
            </w:pPr>
            <w:r w:rsidRPr="001A35D7">
              <w:rPr>
                <w:rStyle w:val="Strong"/>
              </w:rPr>
              <w:t>Physical</w:t>
            </w:r>
          </w:p>
        </w:tc>
        <w:tc>
          <w:tcPr>
            <w:tcW w:w="4675" w:type="dxa"/>
            <w:shd w:val="clear" w:color="auto" w:fill="EEEEEE"/>
          </w:tcPr>
          <w:p w14:paraId="09C4197C" w14:textId="1371C6C7" w:rsidR="001A35D7" w:rsidRPr="001A35D7" w:rsidRDefault="001A35D7" w:rsidP="001A35D7">
            <w:pPr>
              <w:pStyle w:val="Tabletext"/>
              <w:jc w:val="center"/>
              <w:rPr>
                <w:rStyle w:val="Strong"/>
              </w:rPr>
            </w:pPr>
            <w:r w:rsidRPr="001A35D7">
              <w:rPr>
                <w:rStyle w:val="Strong"/>
              </w:rPr>
              <w:t>Process</w:t>
            </w:r>
          </w:p>
        </w:tc>
      </w:tr>
      <w:tr w:rsidR="001A35D7" w:rsidRPr="001A35D7" w14:paraId="704A9FAD" w14:textId="77777777" w:rsidTr="001A35D7">
        <w:trPr>
          <w:cantSplit/>
        </w:trPr>
        <w:tc>
          <w:tcPr>
            <w:tcW w:w="4675" w:type="dxa"/>
          </w:tcPr>
          <w:p w14:paraId="73024A77" w14:textId="350C25DC" w:rsidR="001A35D7" w:rsidRPr="001A35D7" w:rsidRDefault="001A35D7" w:rsidP="001A35D7">
            <w:pPr>
              <w:pStyle w:val="Tabletext"/>
              <w:jc w:val="center"/>
            </w:pPr>
            <w:r w:rsidRPr="001A35D7">
              <w:t>Accommodations</w:t>
            </w:r>
          </w:p>
          <w:p w14:paraId="221D4BE7" w14:textId="77777777" w:rsidR="001A35D7" w:rsidRPr="001A35D7" w:rsidRDefault="001A35D7" w:rsidP="001A35D7">
            <w:pPr>
              <w:pStyle w:val="Tabletext"/>
              <w:jc w:val="center"/>
            </w:pPr>
            <w:r w:rsidRPr="001A35D7">
              <w:t>Digital Equity</w:t>
            </w:r>
          </w:p>
          <w:p w14:paraId="3549B072" w14:textId="0722C211" w:rsidR="001A35D7" w:rsidRPr="001A35D7" w:rsidRDefault="001A35D7" w:rsidP="001A35D7">
            <w:pPr>
              <w:pStyle w:val="Tabletext"/>
              <w:jc w:val="center"/>
            </w:pPr>
            <w:r w:rsidRPr="001A35D7">
              <w:t>Space</w:t>
            </w:r>
          </w:p>
        </w:tc>
        <w:tc>
          <w:tcPr>
            <w:tcW w:w="4675" w:type="dxa"/>
          </w:tcPr>
          <w:p w14:paraId="304981DD" w14:textId="77777777" w:rsidR="001A35D7" w:rsidRPr="001A35D7" w:rsidRDefault="001A35D7" w:rsidP="001A35D7">
            <w:pPr>
              <w:pStyle w:val="Tabletext"/>
              <w:jc w:val="center"/>
            </w:pPr>
            <w:r w:rsidRPr="001A35D7">
              <w:t>Content</w:t>
            </w:r>
          </w:p>
          <w:p w14:paraId="4843D299" w14:textId="77777777" w:rsidR="001A35D7" w:rsidRPr="001A35D7" w:rsidRDefault="001A35D7" w:rsidP="001A35D7">
            <w:pPr>
              <w:pStyle w:val="Tabletext"/>
              <w:jc w:val="center"/>
            </w:pPr>
            <w:r w:rsidRPr="001A35D7">
              <w:t>Assessment</w:t>
            </w:r>
          </w:p>
          <w:p w14:paraId="6702C4F4" w14:textId="3129160D" w:rsidR="001A35D7" w:rsidRPr="001A35D7" w:rsidRDefault="001A35D7" w:rsidP="001A35D7">
            <w:pPr>
              <w:pStyle w:val="Tabletext"/>
              <w:jc w:val="center"/>
            </w:pPr>
            <w:r w:rsidRPr="001A35D7">
              <w:t>Classroom Management (Assumptions)</w:t>
            </w:r>
          </w:p>
        </w:tc>
      </w:tr>
    </w:tbl>
    <w:p w14:paraId="501E404B" w14:textId="71C998E9" w:rsidR="001A35D7" w:rsidRPr="001A35D7" w:rsidRDefault="001A35D7" w:rsidP="001A35D7">
      <w:pPr>
        <w:pStyle w:val="Heading3"/>
      </w:pPr>
      <w:r w:rsidRPr="001A35D7">
        <w:t xml:space="preserve">Considerations for </w:t>
      </w:r>
      <w:r>
        <w:t>c</w:t>
      </w:r>
      <w:r w:rsidRPr="001A35D7">
        <w:t xml:space="preserve">ourse </w:t>
      </w:r>
      <w:r>
        <w:t>d</w:t>
      </w:r>
      <w:r w:rsidRPr="001A35D7">
        <w:t>esign</w:t>
      </w:r>
    </w:p>
    <w:p w14:paraId="339567CC" w14:textId="77777777" w:rsidR="001A35D7" w:rsidRDefault="001A35D7" w:rsidP="001A35D7">
      <w:pPr>
        <w:pStyle w:val="BodyText"/>
      </w:pPr>
      <w:r>
        <w:t>When identifying areas of a course where diverse student populations could be better supported, it can help to view a course through the following process lenses.</w:t>
      </w:r>
    </w:p>
    <w:p w14:paraId="32BCFC3F" w14:textId="1BE991DE" w:rsidR="001A35D7" w:rsidRPr="001A35D7" w:rsidRDefault="001A35D7" w:rsidP="001A35D7">
      <w:pPr>
        <w:pStyle w:val="Heading4"/>
      </w:pPr>
      <w:r w:rsidRPr="001A35D7">
        <w:t>Representative content</w:t>
      </w:r>
    </w:p>
    <w:p w14:paraId="1725DCF3" w14:textId="72B47737" w:rsidR="001A35D7" w:rsidRPr="001A35D7" w:rsidRDefault="001A35D7" w:rsidP="001A35D7">
      <w:pPr>
        <w:pStyle w:val="Bulletlist1"/>
      </w:pPr>
      <w:r>
        <w:t xml:space="preserve"> </w:t>
      </w:r>
      <w:r w:rsidRPr="001A35D7">
        <w:t>Variety of media</w:t>
      </w:r>
    </w:p>
    <w:p w14:paraId="229A0483" w14:textId="2CDF5995" w:rsidR="001A35D7" w:rsidRPr="001A35D7" w:rsidRDefault="001A35D7" w:rsidP="001A35D7">
      <w:pPr>
        <w:pStyle w:val="Bulletlist1"/>
      </w:pPr>
      <w:r w:rsidRPr="001A35D7">
        <w:t xml:space="preserve"> Current events</w:t>
      </w:r>
    </w:p>
    <w:p w14:paraId="09ABCBD7" w14:textId="3482EF3E" w:rsidR="001A35D7" w:rsidRPr="001A35D7" w:rsidRDefault="001A35D7" w:rsidP="001A35D7">
      <w:pPr>
        <w:pStyle w:val="Bulletlist1"/>
      </w:pPr>
      <w:r w:rsidRPr="001A35D7">
        <w:t xml:space="preserve"> Controversy</w:t>
      </w:r>
    </w:p>
    <w:p w14:paraId="1EB7BE11" w14:textId="729BD27F" w:rsidR="001A35D7" w:rsidRPr="001A35D7" w:rsidRDefault="001A35D7" w:rsidP="001A35D7">
      <w:pPr>
        <w:pStyle w:val="Bulletlist1"/>
      </w:pPr>
      <w:r w:rsidRPr="001A35D7">
        <w:t xml:space="preserve"> Perspectives</w:t>
      </w:r>
    </w:p>
    <w:p w14:paraId="3AA8086F" w14:textId="0D706058" w:rsidR="001A35D7" w:rsidRDefault="001A35D7" w:rsidP="001A35D7">
      <w:pPr>
        <w:pStyle w:val="Bulletlist1"/>
      </w:pPr>
      <w:r w:rsidRPr="001A35D7">
        <w:t xml:space="preserve"> Instructor neutrality</w:t>
      </w:r>
    </w:p>
    <w:p w14:paraId="5B586D3A" w14:textId="3591BA88" w:rsidR="001A35D7" w:rsidRDefault="001A35D7" w:rsidP="001A35D7">
      <w:pPr>
        <w:pStyle w:val="Heading4"/>
      </w:pPr>
      <w:r>
        <w:lastRenderedPageBreak/>
        <w:t>Inclusive assessments</w:t>
      </w:r>
    </w:p>
    <w:p w14:paraId="6A634147" w14:textId="590E35AE" w:rsidR="001A35D7" w:rsidRPr="001A35D7" w:rsidRDefault="001A35D7" w:rsidP="001A35D7">
      <w:pPr>
        <w:pStyle w:val="Bulletlist1"/>
      </w:pPr>
      <w:r w:rsidRPr="001A35D7">
        <w:t xml:space="preserve"> Modes of expression</w:t>
      </w:r>
    </w:p>
    <w:p w14:paraId="7CCC409E" w14:textId="3372DCDA" w:rsidR="001A35D7" w:rsidRPr="001A35D7" w:rsidRDefault="001A35D7" w:rsidP="001A35D7">
      <w:pPr>
        <w:pStyle w:val="Bulletlist1"/>
      </w:pPr>
      <w:r w:rsidRPr="001A35D7">
        <w:t xml:space="preserve"> Relevance</w:t>
      </w:r>
    </w:p>
    <w:p w14:paraId="42D7E8F5" w14:textId="121B5601" w:rsidR="001A35D7" w:rsidRPr="001A35D7" w:rsidRDefault="001A35D7" w:rsidP="001A35D7">
      <w:pPr>
        <w:pStyle w:val="Bulletlist1"/>
      </w:pPr>
      <w:r w:rsidRPr="001A35D7">
        <w:t xml:space="preserve"> Topic choice</w:t>
      </w:r>
    </w:p>
    <w:p w14:paraId="7010C6B5" w14:textId="692D2BD1" w:rsidR="001A35D7" w:rsidRPr="001A35D7" w:rsidRDefault="001A35D7" w:rsidP="001A35D7">
      <w:pPr>
        <w:pStyle w:val="Bulletlist1"/>
      </w:pPr>
      <w:r w:rsidRPr="001A35D7">
        <w:t xml:space="preserve"> Grading process</w:t>
      </w:r>
    </w:p>
    <w:p w14:paraId="4EA40770" w14:textId="283555C0" w:rsidR="001A35D7" w:rsidRPr="001A35D7" w:rsidRDefault="001A35D7" w:rsidP="001A35D7">
      <w:pPr>
        <w:pStyle w:val="Heading4"/>
      </w:pPr>
      <w:r w:rsidRPr="001A35D7">
        <w:t>Recognition of assumptions</w:t>
      </w:r>
    </w:p>
    <w:p w14:paraId="6BCE66BF" w14:textId="21275CB3" w:rsidR="001A35D7" w:rsidRDefault="001A35D7" w:rsidP="001A35D7">
      <w:pPr>
        <w:pStyle w:val="Bulletlist1"/>
      </w:pPr>
      <w:r>
        <w:t>Skill level</w:t>
      </w:r>
    </w:p>
    <w:p w14:paraId="6848A7BE" w14:textId="3D015BFE" w:rsidR="001A35D7" w:rsidRDefault="001A35D7" w:rsidP="001A35D7">
      <w:pPr>
        <w:pStyle w:val="Bulletlist1"/>
      </w:pPr>
      <w:r>
        <w:t xml:space="preserve"> Culture</w:t>
      </w:r>
    </w:p>
    <w:p w14:paraId="465815B1" w14:textId="544CB912" w:rsidR="001A35D7" w:rsidRDefault="001A35D7" w:rsidP="001A35D7">
      <w:pPr>
        <w:pStyle w:val="Bulletlist1"/>
      </w:pPr>
      <w:r>
        <w:t xml:space="preserve"> Device use</w:t>
      </w:r>
    </w:p>
    <w:p w14:paraId="3C44EFD5" w14:textId="1D18D85B" w:rsidR="001A35D7" w:rsidRDefault="001A35D7" w:rsidP="001A35D7">
      <w:pPr>
        <w:pStyle w:val="Bulletlist1"/>
      </w:pPr>
      <w:r>
        <w:t xml:space="preserve"> Lifestyle</w:t>
      </w:r>
    </w:p>
    <w:p w14:paraId="3BB191A0" w14:textId="38E83BF8" w:rsidR="001A35D7" w:rsidRDefault="001A35D7" w:rsidP="001A35D7">
      <w:pPr>
        <w:pStyle w:val="Bulletlist1"/>
      </w:pPr>
      <w:r>
        <w:t xml:space="preserve"> Comfort</w:t>
      </w:r>
    </w:p>
    <w:p w14:paraId="262C7966" w14:textId="79CE2637" w:rsidR="001A35D7" w:rsidRPr="001A35D7" w:rsidRDefault="001A35D7" w:rsidP="001A35D7">
      <w:pPr>
        <w:pStyle w:val="Heading4"/>
      </w:pPr>
      <w:r w:rsidRPr="001A35D7">
        <w:t>Resources for physical access considerations</w:t>
      </w:r>
    </w:p>
    <w:p w14:paraId="337D62DA" w14:textId="749CFB8C" w:rsidR="001A35D7" w:rsidRDefault="001A35D7" w:rsidP="001A35D7">
      <w:pPr>
        <w:pStyle w:val="Bulletlist1"/>
      </w:pPr>
      <w:r>
        <w:t>USC Office of Disability Services and Programs</w:t>
      </w:r>
    </w:p>
    <w:p w14:paraId="6C4613F1" w14:textId="3451CA9A" w:rsidR="001A35D7" w:rsidRDefault="001A35D7" w:rsidP="001A35D7">
      <w:pPr>
        <w:pStyle w:val="Bulletlist1"/>
      </w:pPr>
      <w:r>
        <w:t xml:space="preserve"> USC </w:t>
      </w:r>
      <w:proofErr w:type="spellStart"/>
      <w:r>
        <w:t>Kortschack</w:t>
      </w:r>
      <w:proofErr w:type="spellEnd"/>
      <w:r>
        <w:t xml:space="preserve"> Center</w:t>
      </w:r>
    </w:p>
    <w:p w14:paraId="56376A06" w14:textId="1C240A78" w:rsidR="001A35D7" w:rsidRDefault="001A35D7" w:rsidP="001A35D7">
      <w:pPr>
        <w:pStyle w:val="Bulletlist1"/>
      </w:pPr>
      <w:r>
        <w:t xml:space="preserve"> USC Libraries</w:t>
      </w:r>
    </w:p>
    <w:p w14:paraId="52FEC278" w14:textId="2DB265C0" w:rsidR="00FB6A5D" w:rsidRDefault="001A35D7" w:rsidP="001A35D7">
      <w:pPr>
        <w:pStyle w:val="Heading4"/>
      </w:pPr>
      <w:r>
        <w:t>Resources for process considerations</w:t>
      </w:r>
    </w:p>
    <w:p w14:paraId="2FF64D85" w14:textId="296766DA" w:rsidR="001A35D7" w:rsidRPr="001A35D7" w:rsidRDefault="001A35D7" w:rsidP="001A35D7">
      <w:pPr>
        <w:pStyle w:val="Bulletlist1"/>
      </w:pPr>
      <w:r w:rsidRPr="001A35D7">
        <w:t xml:space="preserve">CET </w:t>
      </w:r>
    </w:p>
    <w:sectPr w:rsidR="001A35D7" w:rsidRPr="001A35D7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E5A3" w14:textId="77777777" w:rsidR="005245C0" w:rsidRDefault="005245C0">
      <w:r>
        <w:separator/>
      </w:r>
    </w:p>
  </w:endnote>
  <w:endnote w:type="continuationSeparator" w:id="0">
    <w:p w14:paraId="63C3943B" w14:textId="77777777" w:rsidR="005245C0" w:rsidRDefault="005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D67A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90EC26" w14:textId="77777777" w:rsidR="00B71CD1" w:rsidRDefault="000D6F02">
    <w:r>
      <w:rPr>
        <w:noProof/>
      </w:rPr>
      <w:drawing>
        <wp:inline distT="114300" distB="114300" distL="114300" distR="114300" wp14:anchorId="509EC4D8" wp14:editId="75F26A35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F037" w14:textId="77777777" w:rsidR="005245C0" w:rsidRDefault="005245C0">
      <w:r>
        <w:separator/>
      </w:r>
    </w:p>
  </w:footnote>
  <w:footnote w:type="continuationSeparator" w:id="0">
    <w:p w14:paraId="610AB052" w14:textId="77777777" w:rsidR="005245C0" w:rsidRDefault="005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7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35D7"/>
    <w:rsid w:val="001D4ECA"/>
    <w:rsid w:val="001F0B8A"/>
    <w:rsid w:val="00203004"/>
    <w:rsid w:val="00216366"/>
    <w:rsid w:val="00247865"/>
    <w:rsid w:val="00276642"/>
    <w:rsid w:val="00296E72"/>
    <w:rsid w:val="002F13AF"/>
    <w:rsid w:val="00336E52"/>
    <w:rsid w:val="00337E13"/>
    <w:rsid w:val="00357287"/>
    <w:rsid w:val="00361028"/>
    <w:rsid w:val="00386CF8"/>
    <w:rsid w:val="003C0C6D"/>
    <w:rsid w:val="003C1570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5C0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25ACD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551D"/>
  <w15:docId w15:val="{482D474E-DA08-1946-B9F6-255A980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1A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35D7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2</cp:revision>
  <dcterms:created xsi:type="dcterms:W3CDTF">2021-06-15T21:43:00Z</dcterms:created>
  <dcterms:modified xsi:type="dcterms:W3CDTF">2021-06-29T18:34:00Z</dcterms:modified>
</cp:coreProperties>
</file>