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6E92" w14:textId="77777777" w:rsidR="000E03CF" w:rsidRPr="00A00009" w:rsidRDefault="000E03CF">
      <w:pPr>
        <w:widowControl w:val="0"/>
        <w:pBdr>
          <w:top w:val="nil"/>
          <w:left w:val="nil"/>
          <w:bottom w:val="nil"/>
          <w:right w:val="nil"/>
          <w:between w:val="nil"/>
        </w:pBdr>
        <w:spacing w:line="276" w:lineRule="auto"/>
        <w:rPr>
          <w:rFonts w:asciiTheme="minorHAnsi" w:hAnsiTheme="minorHAnsi" w:cstheme="minorHAnsi"/>
        </w:rPr>
      </w:pPr>
    </w:p>
    <w:p w14:paraId="344EA591" w14:textId="77777777" w:rsidR="000E03CF" w:rsidRPr="00A00009" w:rsidRDefault="00CF7D69">
      <w:pPr>
        <w:pBdr>
          <w:top w:val="nil"/>
          <w:left w:val="nil"/>
          <w:bottom w:val="nil"/>
          <w:right w:val="nil"/>
          <w:between w:val="nil"/>
        </w:pBdr>
        <w:tabs>
          <w:tab w:val="left" w:pos="8820"/>
        </w:tabs>
        <w:spacing w:after="240"/>
        <w:ind w:left="274"/>
        <w:rPr>
          <w:rFonts w:asciiTheme="minorHAnsi" w:eastAsia="Calibri" w:hAnsiTheme="minorHAnsi" w:cstheme="minorHAnsi"/>
          <w:color w:val="000000"/>
        </w:rPr>
      </w:pPr>
      <w:r w:rsidRPr="00A00009">
        <w:rPr>
          <w:rFonts w:asciiTheme="minorHAnsi" w:eastAsia="Calibri" w:hAnsiTheme="minorHAnsi" w:cstheme="minorHAnsi"/>
          <w:noProof/>
          <w:color w:val="000000"/>
        </w:rPr>
        <w:drawing>
          <wp:inline distT="114300" distB="114300" distL="114300" distR="114300" wp14:anchorId="2D66059F" wp14:editId="3DF25F35">
            <wp:extent cx="3697043" cy="455800"/>
            <wp:effectExtent l="0" t="0" r="0" b="0"/>
            <wp:docPr id="8" name="image2.jpg" descr="University of Southern California Center for Excellence in Teaching"/>
            <wp:cNvGraphicFramePr/>
            <a:graphic xmlns:a="http://schemas.openxmlformats.org/drawingml/2006/main">
              <a:graphicData uri="http://schemas.openxmlformats.org/drawingml/2006/picture">
                <pic:pic xmlns:pic="http://schemas.openxmlformats.org/drawingml/2006/picture">
                  <pic:nvPicPr>
                    <pic:cNvPr id="0" name="image2.jpg" descr="University of Southern California Center for Excellence in Teaching"/>
                    <pic:cNvPicPr preferRelativeResize="0"/>
                  </pic:nvPicPr>
                  <pic:blipFill>
                    <a:blip r:embed="rId8"/>
                    <a:srcRect/>
                    <a:stretch>
                      <a:fillRect/>
                    </a:stretch>
                  </pic:blipFill>
                  <pic:spPr>
                    <a:xfrm>
                      <a:off x="0" y="0"/>
                      <a:ext cx="3697043" cy="455800"/>
                    </a:xfrm>
                    <a:prstGeom prst="rect">
                      <a:avLst/>
                    </a:prstGeom>
                    <a:ln/>
                  </pic:spPr>
                </pic:pic>
              </a:graphicData>
            </a:graphic>
          </wp:inline>
        </w:drawing>
      </w:r>
    </w:p>
    <w:p w14:paraId="48326CF0" w14:textId="77777777" w:rsidR="000E03CF" w:rsidRPr="00A00009" w:rsidRDefault="00CF7D69">
      <w:pPr>
        <w:pStyle w:val="Heading1"/>
        <w:rPr>
          <w:rFonts w:asciiTheme="minorHAnsi" w:hAnsiTheme="minorHAnsi" w:cstheme="minorHAnsi"/>
        </w:rPr>
      </w:pPr>
      <w:r w:rsidRPr="00A00009">
        <w:rPr>
          <w:rFonts w:asciiTheme="minorHAnsi" w:hAnsiTheme="minorHAnsi" w:cstheme="minorHAnsi"/>
        </w:rPr>
        <w:t xml:space="preserve"> Diversity &amp; inclusion syllabus checklist</w:t>
      </w:r>
    </w:p>
    <w:p w14:paraId="518A150B" w14:textId="77777777" w:rsidR="000E03CF" w:rsidRPr="00A00009" w:rsidRDefault="00CF7D69">
      <w:pPr>
        <w:pStyle w:val="Heading2"/>
        <w:ind w:firstLine="274"/>
        <w:rPr>
          <w:rFonts w:asciiTheme="minorHAnsi" w:hAnsiTheme="minorHAnsi" w:cstheme="minorHAnsi"/>
        </w:rPr>
      </w:pPr>
      <w:r w:rsidRPr="00A00009">
        <w:rPr>
          <w:rFonts w:asciiTheme="minorHAnsi" w:hAnsiTheme="minorHAnsi" w:cstheme="minorHAnsi"/>
        </w:rPr>
        <w:t>WHAT IS THIS RESOURCE?</w:t>
      </w:r>
    </w:p>
    <w:p w14:paraId="39562961" w14:textId="77777777" w:rsidR="000E03CF" w:rsidRPr="00A00009" w:rsidRDefault="00CF7D69" w:rsidP="00A00009">
      <w:pPr>
        <w:pBdr>
          <w:top w:val="nil"/>
          <w:left w:val="nil"/>
          <w:bottom w:val="nil"/>
          <w:right w:val="nil"/>
          <w:between w:val="nil"/>
        </w:pBdr>
        <w:spacing w:after="240"/>
        <w:ind w:left="540"/>
        <w:rPr>
          <w:rFonts w:asciiTheme="minorHAnsi" w:eastAsia="Calibri" w:hAnsiTheme="minorHAnsi" w:cstheme="minorHAnsi"/>
          <w:color w:val="000000"/>
        </w:rPr>
      </w:pPr>
      <w:r w:rsidRPr="00A00009">
        <w:rPr>
          <w:rFonts w:asciiTheme="minorHAnsi" w:eastAsia="Calibri" w:hAnsiTheme="minorHAnsi" w:cstheme="minorHAnsi"/>
          <w:color w:val="000000"/>
        </w:rPr>
        <w:t xml:space="preserve">A syllabus checklist that can be utilized as a tool for course review using the lens of diversity and inclusion. The listed items are highly recommended for inclusion in course syllabi and/or courses, as best practices and in support of diversity and inclusion to the benefit of all students. Many of the items are also elements of </w:t>
      </w:r>
      <w:r w:rsidRPr="00A00009">
        <w:rPr>
          <w:rFonts w:asciiTheme="minorHAnsi" w:eastAsia="Calibri" w:hAnsiTheme="minorHAnsi" w:cstheme="minorHAnsi"/>
        </w:rPr>
        <w:t>Universal Design for Learning</w:t>
      </w:r>
      <w:r w:rsidRPr="00A00009">
        <w:rPr>
          <w:rFonts w:asciiTheme="minorHAnsi" w:eastAsia="Calibri" w:hAnsiTheme="minorHAnsi" w:cstheme="minorHAnsi"/>
          <w:color w:val="000000"/>
        </w:rPr>
        <w:t xml:space="preserve"> (UDL)</w:t>
      </w:r>
      <w:r w:rsidRPr="00A00009">
        <w:rPr>
          <w:rFonts w:asciiTheme="minorHAnsi" w:eastAsia="Calibri" w:hAnsiTheme="minorHAnsi" w:cstheme="minorHAnsi"/>
        </w:rPr>
        <w:t>.</w:t>
      </w:r>
    </w:p>
    <w:p w14:paraId="397E34AC" w14:textId="77777777" w:rsidR="000E03CF" w:rsidRPr="00A00009" w:rsidRDefault="00CF7D69">
      <w:pPr>
        <w:pStyle w:val="Heading2"/>
        <w:ind w:firstLine="274"/>
        <w:rPr>
          <w:rFonts w:asciiTheme="minorHAnsi" w:hAnsiTheme="minorHAnsi" w:cstheme="minorHAnsi"/>
        </w:rPr>
      </w:pPr>
      <w:r w:rsidRPr="00A00009">
        <w:rPr>
          <w:rFonts w:asciiTheme="minorHAnsi" w:hAnsiTheme="minorHAnsi" w:cstheme="minorHAnsi"/>
        </w:rPr>
        <w:t>HOW DO I USE IT?</w:t>
      </w:r>
    </w:p>
    <w:p w14:paraId="39B77A6F" w14:textId="182E2007" w:rsidR="000E03CF" w:rsidRPr="00A00009" w:rsidRDefault="00CF7D69" w:rsidP="00A00009">
      <w:pPr>
        <w:pBdr>
          <w:top w:val="nil"/>
          <w:left w:val="nil"/>
          <w:bottom w:val="nil"/>
          <w:right w:val="nil"/>
          <w:between w:val="nil"/>
        </w:pBdr>
        <w:spacing w:after="240"/>
        <w:ind w:left="540"/>
        <w:rPr>
          <w:rFonts w:asciiTheme="minorHAnsi" w:eastAsia="Calibri" w:hAnsiTheme="minorHAnsi" w:cstheme="minorHAnsi"/>
          <w:color w:val="000000"/>
        </w:rPr>
      </w:pPr>
      <w:r w:rsidRPr="00A00009">
        <w:rPr>
          <w:rFonts w:asciiTheme="minorHAnsi" w:eastAsia="Calibri" w:hAnsiTheme="minorHAnsi" w:cstheme="minorHAnsi"/>
          <w:color w:val="000000"/>
        </w:rPr>
        <w:t xml:space="preserve">This resource can be a self-reflective tool and/or a conversation starter with colleagues. Review committees may wish to use this </w:t>
      </w:r>
      <w:r w:rsidR="00770589" w:rsidRPr="00A00009">
        <w:rPr>
          <w:rFonts w:asciiTheme="minorHAnsi" w:eastAsia="Calibri" w:hAnsiTheme="minorHAnsi" w:cstheme="minorHAnsi"/>
          <w:color w:val="000000"/>
        </w:rPr>
        <w:t>checklist and</w:t>
      </w:r>
      <w:r w:rsidRPr="00A00009">
        <w:rPr>
          <w:rFonts w:asciiTheme="minorHAnsi" w:eastAsia="Calibri" w:hAnsiTheme="minorHAnsi" w:cstheme="minorHAnsi"/>
          <w:color w:val="000000"/>
        </w:rPr>
        <w:t xml:space="preserve"> add school-specific items to it when updating a single course or all courses in a program. The assumption is made that syllabi being reviewed already adhere to the </w:t>
      </w:r>
      <w:hyperlink r:id="rId9">
        <w:r w:rsidR="00B96453" w:rsidRPr="00A00009">
          <w:rPr>
            <w:rFonts w:asciiTheme="minorHAnsi" w:eastAsia="Calibri" w:hAnsiTheme="minorHAnsi" w:cstheme="minorHAnsi"/>
            <w:color w:val="0000FF"/>
            <w:u w:val="single"/>
          </w:rPr>
          <w:t>USC Syllabus Template</w:t>
        </w:r>
      </w:hyperlink>
      <w:r w:rsidRPr="00A00009">
        <w:rPr>
          <w:rFonts w:asciiTheme="minorHAnsi" w:eastAsia="Calibri" w:hAnsiTheme="minorHAnsi" w:cstheme="minorHAnsi"/>
          <w:color w:val="000000"/>
        </w:rPr>
        <w:t xml:space="preserve">. For assistance, please </w:t>
      </w:r>
      <w:hyperlink r:id="rId10">
        <w:r w:rsidRPr="00A00009">
          <w:rPr>
            <w:rFonts w:asciiTheme="minorHAnsi" w:eastAsia="Calibri" w:hAnsiTheme="minorHAnsi" w:cstheme="minorHAnsi"/>
            <w:color w:val="0000FF"/>
            <w:u w:val="single"/>
          </w:rPr>
          <w:t>contact CET</w:t>
        </w:r>
      </w:hyperlink>
      <w:r w:rsidRPr="00A00009">
        <w:rPr>
          <w:rFonts w:asciiTheme="minorHAnsi" w:eastAsia="Calibri" w:hAnsiTheme="minorHAnsi" w:cstheme="minorHAnsi"/>
          <w:color w:val="000000"/>
        </w:rPr>
        <w:t>.</w:t>
      </w:r>
    </w:p>
    <w:p w14:paraId="2982A7DD" w14:textId="5068354A" w:rsidR="00B96453" w:rsidRPr="00A00009" w:rsidRDefault="00B96453">
      <w:pPr>
        <w:pStyle w:val="Heading3"/>
        <w:rPr>
          <w:rFonts w:cstheme="minorHAnsi"/>
        </w:rPr>
      </w:pPr>
      <w:r w:rsidRPr="00A00009">
        <w:rPr>
          <w:rFonts w:cstheme="minorHAnsi"/>
        </w:rPr>
        <w:t>Considerations</w:t>
      </w:r>
    </w:p>
    <w:p w14:paraId="3C94296E" w14:textId="40C64B35" w:rsidR="00B96453" w:rsidRPr="00A00009" w:rsidRDefault="00B96453" w:rsidP="00B96453">
      <w:pPr>
        <w:rPr>
          <w:rFonts w:asciiTheme="minorHAnsi" w:hAnsiTheme="minorHAnsi" w:cstheme="minorHAnsi"/>
        </w:rPr>
      </w:pPr>
      <w:r w:rsidRPr="00A00009">
        <w:rPr>
          <w:rFonts w:asciiTheme="minorHAnsi" w:hAnsiTheme="minorHAnsi" w:cstheme="minorHAnsi"/>
        </w:rPr>
        <w:t>When preparing a syllabus to be inclusive of all students, consider the following questions:</w:t>
      </w:r>
    </w:p>
    <w:p w14:paraId="611D6A4E" w14:textId="55CD95E3" w:rsidR="00B96453" w:rsidRPr="00A00009" w:rsidRDefault="00B96453" w:rsidP="00B96453">
      <w:pPr>
        <w:pStyle w:val="ListParagraph"/>
        <w:numPr>
          <w:ilvl w:val="0"/>
          <w:numId w:val="4"/>
        </w:numPr>
        <w:rPr>
          <w:rFonts w:asciiTheme="minorHAnsi" w:hAnsiTheme="minorHAnsi" w:cstheme="minorHAnsi"/>
        </w:rPr>
      </w:pPr>
      <w:r w:rsidRPr="00A00009">
        <w:rPr>
          <w:rFonts w:asciiTheme="minorHAnsi" w:hAnsiTheme="minorHAnsi" w:cstheme="minorHAnsi"/>
        </w:rPr>
        <w:t>What are your discipline’s norms and assumptions? How might students with varying backgrounds respond to them?</w:t>
      </w:r>
    </w:p>
    <w:p w14:paraId="2D71F778" w14:textId="2C96F896" w:rsidR="00B96453" w:rsidRPr="00A00009" w:rsidRDefault="00B96453" w:rsidP="00B96453">
      <w:pPr>
        <w:pStyle w:val="ListParagraph"/>
        <w:numPr>
          <w:ilvl w:val="0"/>
          <w:numId w:val="4"/>
        </w:numPr>
        <w:rPr>
          <w:rFonts w:asciiTheme="minorHAnsi" w:hAnsiTheme="minorHAnsi" w:cstheme="minorHAnsi"/>
        </w:rPr>
      </w:pPr>
      <w:r w:rsidRPr="00A00009">
        <w:rPr>
          <w:rFonts w:asciiTheme="minorHAnsi" w:hAnsiTheme="minorHAnsi" w:cstheme="minorHAnsi"/>
        </w:rPr>
        <w:t>What do you want students to know about your expectations regarding creating and maintaining a space where differences are respected and valued?</w:t>
      </w:r>
    </w:p>
    <w:p w14:paraId="272F5A51" w14:textId="596AFBF9" w:rsidR="00B96453" w:rsidRPr="00A00009" w:rsidRDefault="00B96453" w:rsidP="00B96453">
      <w:pPr>
        <w:pStyle w:val="ListParagraph"/>
        <w:numPr>
          <w:ilvl w:val="0"/>
          <w:numId w:val="4"/>
        </w:numPr>
        <w:rPr>
          <w:rFonts w:asciiTheme="minorHAnsi" w:hAnsiTheme="minorHAnsi" w:cstheme="minorHAnsi"/>
        </w:rPr>
      </w:pPr>
      <w:r w:rsidRPr="00A00009">
        <w:rPr>
          <w:rFonts w:asciiTheme="minorHAnsi" w:hAnsiTheme="minorHAnsi" w:cstheme="minorHAnsi"/>
        </w:rPr>
        <w:t>Is your syllabus inclusive of different types of diversity, including, but not limited to race, gender, ethnicity, sexual orientation, age, socioeconomic status, religion, and ability?</w:t>
      </w:r>
    </w:p>
    <w:p w14:paraId="14ADD41D" w14:textId="64F7BDF4" w:rsidR="00B45F65" w:rsidRPr="00A00009" w:rsidRDefault="00B45F65" w:rsidP="00B96453">
      <w:pPr>
        <w:pStyle w:val="ListParagraph"/>
        <w:numPr>
          <w:ilvl w:val="0"/>
          <w:numId w:val="4"/>
        </w:numPr>
        <w:rPr>
          <w:rFonts w:asciiTheme="minorHAnsi" w:hAnsiTheme="minorHAnsi" w:cstheme="minorHAnsi"/>
        </w:rPr>
      </w:pPr>
      <w:r w:rsidRPr="00A00009">
        <w:rPr>
          <w:rFonts w:asciiTheme="minorHAnsi" w:hAnsiTheme="minorHAnsi" w:cstheme="minorHAnsi"/>
        </w:rPr>
        <w:t>What kind of classroom environment and conversational tone do you expect from students? How might this be conveyed to students?</w:t>
      </w:r>
    </w:p>
    <w:p w14:paraId="6D4496EB" w14:textId="07B99307" w:rsidR="00B45F65" w:rsidRPr="00A00009" w:rsidRDefault="00B45F65" w:rsidP="002819E8">
      <w:pPr>
        <w:pStyle w:val="ListParagraph"/>
        <w:numPr>
          <w:ilvl w:val="0"/>
          <w:numId w:val="4"/>
        </w:numPr>
        <w:rPr>
          <w:rFonts w:asciiTheme="minorHAnsi" w:hAnsiTheme="minorHAnsi" w:cstheme="minorHAnsi"/>
        </w:rPr>
      </w:pPr>
      <w:r w:rsidRPr="00A00009">
        <w:rPr>
          <w:rFonts w:asciiTheme="minorHAnsi" w:hAnsiTheme="minorHAnsi" w:cstheme="minorHAnsi"/>
        </w:rPr>
        <w:t>What campus resources could be shared with students to assist them in their educational journey?</w:t>
      </w:r>
    </w:p>
    <w:p w14:paraId="6726F7DA" w14:textId="77777777" w:rsidR="00B96453" w:rsidRPr="00A00009" w:rsidRDefault="00B96453" w:rsidP="002819E8">
      <w:pPr>
        <w:rPr>
          <w:rFonts w:asciiTheme="minorHAnsi" w:hAnsiTheme="minorHAnsi" w:cstheme="minorHAnsi"/>
        </w:rPr>
      </w:pPr>
    </w:p>
    <w:p w14:paraId="31B306CD" w14:textId="51041D67" w:rsidR="006B4599" w:rsidRPr="00A00009" w:rsidRDefault="006B4599">
      <w:pPr>
        <w:pStyle w:val="Heading3"/>
        <w:rPr>
          <w:rFonts w:cstheme="minorHAnsi"/>
        </w:rPr>
      </w:pPr>
      <w:r w:rsidRPr="00A00009">
        <w:rPr>
          <w:rFonts w:cstheme="minorHAnsi"/>
        </w:rPr>
        <w:t>Six Principles of Inclusive Course Syllabi</w:t>
      </w:r>
    </w:p>
    <w:p w14:paraId="7FFB7816" w14:textId="7C7F3220" w:rsidR="006B4599" w:rsidRPr="00A00009" w:rsidRDefault="006B4599" w:rsidP="006B4599">
      <w:pPr>
        <w:pStyle w:val="ListParagraph"/>
        <w:numPr>
          <w:ilvl w:val="0"/>
          <w:numId w:val="5"/>
        </w:numPr>
        <w:rPr>
          <w:rFonts w:asciiTheme="minorHAnsi" w:hAnsiTheme="minorHAnsi" w:cstheme="minorHAnsi"/>
        </w:rPr>
      </w:pPr>
      <w:r w:rsidRPr="00A00009">
        <w:rPr>
          <w:rFonts w:asciiTheme="minorHAnsi" w:hAnsiTheme="minorHAnsi" w:cstheme="minorHAnsi"/>
        </w:rPr>
        <w:t>Focus on Student Learning,</w:t>
      </w:r>
    </w:p>
    <w:p w14:paraId="423499EA" w14:textId="7BE41217" w:rsidR="00AC029A" w:rsidRPr="00A00009" w:rsidRDefault="00AC029A" w:rsidP="002819E8">
      <w:pPr>
        <w:pStyle w:val="ListParagraph"/>
        <w:numPr>
          <w:ilvl w:val="1"/>
          <w:numId w:val="6"/>
        </w:numPr>
        <w:ind w:left="1080"/>
        <w:rPr>
          <w:rFonts w:asciiTheme="minorHAnsi" w:hAnsiTheme="minorHAnsi" w:cstheme="minorHAnsi"/>
        </w:rPr>
      </w:pPr>
      <w:r w:rsidRPr="00A00009">
        <w:rPr>
          <w:rFonts w:asciiTheme="minorHAnsi" w:hAnsiTheme="minorHAnsi" w:cstheme="minorHAnsi"/>
        </w:rPr>
        <w:t xml:space="preserve">State learning </w:t>
      </w:r>
      <w:hyperlink r:id="rId11" w:history="1">
        <w:r w:rsidRPr="00A00009">
          <w:rPr>
            <w:rStyle w:val="Hyperlink"/>
            <w:rFonts w:asciiTheme="minorHAnsi" w:hAnsiTheme="minorHAnsi" w:cstheme="minorHAnsi"/>
          </w:rPr>
          <w:t>objectives</w:t>
        </w:r>
      </w:hyperlink>
      <w:r w:rsidRPr="00A00009">
        <w:rPr>
          <w:rFonts w:asciiTheme="minorHAnsi" w:hAnsiTheme="minorHAnsi" w:cstheme="minorHAnsi"/>
        </w:rPr>
        <w:t xml:space="preserve"> which address different levels of cognitive, behavioral, and affective learning.</w:t>
      </w:r>
    </w:p>
    <w:p w14:paraId="03C86150" w14:textId="7923F585" w:rsidR="00AC029A" w:rsidRPr="00A00009" w:rsidRDefault="00AC029A" w:rsidP="002819E8">
      <w:pPr>
        <w:pStyle w:val="ListParagraph"/>
        <w:numPr>
          <w:ilvl w:val="1"/>
          <w:numId w:val="6"/>
        </w:numPr>
        <w:ind w:left="1080"/>
        <w:rPr>
          <w:rFonts w:asciiTheme="minorHAnsi" w:hAnsiTheme="minorHAnsi" w:cstheme="minorHAnsi"/>
        </w:rPr>
      </w:pPr>
      <w:r w:rsidRPr="00A00009">
        <w:rPr>
          <w:rFonts w:asciiTheme="minorHAnsi" w:hAnsiTheme="minorHAnsi" w:cstheme="minorHAnsi"/>
        </w:rPr>
        <w:t xml:space="preserve">Align learning objectives with course assignments. </w:t>
      </w:r>
    </w:p>
    <w:p w14:paraId="22D15FBD" w14:textId="4E3D4880" w:rsidR="00AC029A" w:rsidRPr="00A00009" w:rsidRDefault="00AC029A" w:rsidP="002819E8">
      <w:pPr>
        <w:pStyle w:val="ListParagraph"/>
        <w:numPr>
          <w:ilvl w:val="1"/>
          <w:numId w:val="6"/>
        </w:numPr>
        <w:ind w:left="1080"/>
        <w:rPr>
          <w:rFonts w:asciiTheme="minorHAnsi" w:hAnsiTheme="minorHAnsi" w:cstheme="minorHAnsi"/>
        </w:rPr>
      </w:pPr>
      <w:r w:rsidRPr="00A00009">
        <w:rPr>
          <w:rFonts w:asciiTheme="minorHAnsi" w:hAnsiTheme="minorHAnsi" w:cstheme="minorHAnsi"/>
        </w:rPr>
        <w:lastRenderedPageBreak/>
        <w:t>Create assignment descriptions and rubrics which clearly communicate assignment expectations.</w:t>
      </w:r>
    </w:p>
    <w:p w14:paraId="533D0BA7" w14:textId="11AA9F10" w:rsidR="00AC029A" w:rsidRPr="00A00009" w:rsidRDefault="00AC029A" w:rsidP="002819E8">
      <w:pPr>
        <w:pStyle w:val="ListParagraph"/>
        <w:numPr>
          <w:ilvl w:val="1"/>
          <w:numId w:val="6"/>
        </w:numPr>
        <w:ind w:left="1080"/>
        <w:rPr>
          <w:rFonts w:asciiTheme="minorHAnsi" w:hAnsiTheme="minorHAnsi" w:cstheme="minorHAnsi"/>
        </w:rPr>
      </w:pPr>
      <w:r w:rsidRPr="00A00009">
        <w:rPr>
          <w:rFonts w:asciiTheme="minorHAnsi" w:hAnsiTheme="minorHAnsi" w:cstheme="minorHAnsi"/>
        </w:rPr>
        <w:t>Communicate in the syllabus how your course space will be a supportive and motivating learning environment.</w:t>
      </w:r>
    </w:p>
    <w:p w14:paraId="1E2782BF" w14:textId="07BBE17B" w:rsidR="00D80ED9" w:rsidRPr="00A00009" w:rsidRDefault="00D80ED9" w:rsidP="002819E8">
      <w:pPr>
        <w:pStyle w:val="ListParagraph"/>
        <w:numPr>
          <w:ilvl w:val="1"/>
          <w:numId w:val="6"/>
        </w:numPr>
        <w:ind w:left="1080"/>
        <w:rPr>
          <w:rFonts w:asciiTheme="minorHAnsi" w:hAnsiTheme="minorHAnsi" w:cstheme="minorHAnsi"/>
        </w:rPr>
      </w:pPr>
      <w:r w:rsidRPr="00A00009">
        <w:rPr>
          <w:rFonts w:asciiTheme="minorHAnsi" w:hAnsiTheme="minorHAnsi" w:cstheme="minorHAnsi"/>
        </w:rPr>
        <w:t xml:space="preserve">Provide </w:t>
      </w:r>
      <w:hyperlink r:id="rId12" w:history="1">
        <w:r w:rsidRPr="00A00009">
          <w:rPr>
            <w:rStyle w:val="Hyperlink"/>
            <w:rFonts w:asciiTheme="minorHAnsi" w:hAnsiTheme="minorHAnsi" w:cstheme="minorHAnsi"/>
          </w:rPr>
          <w:t>formative and summative feedback</w:t>
        </w:r>
      </w:hyperlink>
      <w:r w:rsidRPr="00A00009">
        <w:rPr>
          <w:rFonts w:asciiTheme="minorHAnsi" w:hAnsiTheme="minorHAnsi" w:cstheme="minorHAnsi"/>
        </w:rPr>
        <w:t xml:space="preserve"> </w:t>
      </w:r>
      <w:r w:rsidR="004F0117" w:rsidRPr="00A00009">
        <w:rPr>
          <w:rFonts w:asciiTheme="minorHAnsi" w:hAnsiTheme="minorHAnsi" w:cstheme="minorHAnsi"/>
        </w:rPr>
        <w:t>to students throughout a term. Formative feedback gives the learner information that will help them to perform better in the future. Summative feedback identifies the next level of mastery achieved by the learner, typically in the form of grades.</w:t>
      </w:r>
    </w:p>
    <w:p w14:paraId="2F60ADD7" w14:textId="77777777" w:rsidR="00D80ED9" w:rsidRPr="00A00009" w:rsidRDefault="00D80ED9" w:rsidP="002819E8">
      <w:pPr>
        <w:rPr>
          <w:rFonts w:asciiTheme="minorHAnsi" w:hAnsiTheme="minorHAnsi" w:cstheme="minorHAnsi"/>
        </w:rPr>
      </w:pPr>
    </w:p>
    <w:p w14:paraId="288D0804" w14:textId="26462315" w:rsidR="006B4599" w:rsidRPr="00A00009" w:rsidRDefault="006B4599" w:rsidP="006B4599">
      <w:pPr>
        <w:pStyle w:val="ListParagraph"/>
        <w:numPr>
          <w:ilvl w:val="0"/>
          <w:numId w:val="5"/>
        </w:numPr>
        <w:rPr>
          <w:rFonts w:asciiTheme="minorHAnsi" w:hAnsiTheme="minorHAnsi" w:cstheme="minorHAnsi"/>
        </w:rPr>
      </w:pPr>
      <w:r w:rsidRPr="00A00009">
        <w:rPr>
          <w:rFonts w:asciiTheme="minorHAnsi" w:hAnsiTheme="minorHAnsi" w:cstheme="minorHAnsi"/>
        </w:rPr>
        <w:t>Course Design around Big Themes and Essential Questions,</w:t>
      </w:r>
    </w:p>
    <w:p w14:paraId="0B004DAC" w14:textId="4B611D68" w:rsidR="00AC029A" w:rsidRPr="00A00009" w:rsidRDefault="00AC029A" w:rsidP="002819E8">
      <w:pPr>
        <w:pStyle w:val="ListParagraph"/>
        <w:numPr>
          <w:ilvl w:val="1"/>
          <w:numId w:val="7"/>
        </w:numPr>
        <w:ind w:left="1080"/>
        <w:rPr>
          <w:rFonts w:asciiTheme="minorHAnsi" w:hAnsiTheme="minorHAnsi" w:cstheme="minorHAnsi"/>
        </w:rPr>
      </w:pPr>
      <w:r w:rsidRPr="00A00009">
        <w:rPr>
          <w:rFonts w:asciiTheme="minorHAnsi" w:hAnsiTheme="minorHAnsi" w:cstheme="minorHAnsi"/>
        </w:rPr>
        <w:t xml:space="preserve">Identify </w:t>
      </w:r>
      <w:r w:rsidR="00805478" w:rsidRPr="00A00009">
        <w:rPr>
          <w:rFonts w:asciiTheme="minorHAnsi" w:hAnsiTheme="minorHAnsi" w:cstheme="minorHAnsi"/>
        </w:rPr>
        <w:t xml:space="preserve">the essential course questions, ideas, and themes through backward </w:t>
      </w:r>
      <w:hyperlink r:id="rId13" w:history="1">
        <w:r w:rsidR="00805478" w:rsidRPr="00A00009">
          <w:rPr>
            <w:rStyle w:val="Hyperlink"/>
            <w:rFonts w:asciiTheme="minorHAnsi" w:hAnsiTheme="minorHAnsi" w:cstheme="minorHAnsi"/>
          </w:rPr>
          <w:t>design of a course</w:t>
        </w:r>
      </w:hyperlink>
      <w:r w:rsidR="00805478" w:rsidRPr="00A00009">
        <w:rPr>
          <w:rFonts w:asciiTheme="minorHAnsi" w:hAnsiTheme="minorHAnsi" w:cstheme="minorHAnsi"/>
        </w:rPr>
        <w:t xml:space="preserve">. </w:t>
      </w:r>
    </w:p>
    <w:p w14:paraId="2E061DFB" w14:textId="18A4D2EC" w:rsidR="00550D77" w:rsidRPr="00A00009" w:rsidRDefault="00550D77" w:rsidP="002819E8">
      <w:pPr>
        <w:pStyle w:val="ListParagraph"/>
        <w:numPr>
          <w:ilvl w:val="1"/>
          <w:numId w:val="7"/>
        </w:numPr>
        <w:ind w:left="1080"/>
        <w:rPr>
          <w:rFonts w:asciiTheme="minorHAnsi" w:hAnsiTheme="minorHAnsi" w:cstheme="minorHAnsi"/>
        </w:rPr>
      </w:pPr>
      <w:r w:rsidRPr="00A00009">
        <w:rPr>
          <w:rFonts w:asciiTheme="minorHAnsi" w:hAnsiTheme="minorHAnsi" w:cstheme="minorHAnsi"/>
        </w:rPr>
        <w:t xml:space="preserve">Frame syllabi to motivate students with a sense of curiosity and how this course will be relevant and meaningful to them. </w:t>
      </w:r>
    </w:p>
    <w:p w14:paraId="1E224F6A" w14:textId="77777777" w:rsidR="00D80ED9" w:rsidRPr="00A00009" w:rsidRDefault="00D80ED9" w:rsidP="002819E8">
      <w:pPr>
        <w:rPr>
          <w:rFonts w:asciiTheme="minorHAnsi" w:hAnsiTheme="minorHAnsi" w:cstheme="minorHAnsi"/>
        </w:rPr>
      </w:pPr>
    </w:p>
    <w:p w14:paraId="0C45EEAC" w14:textId="09C73421" w:rsidR="006B4599" w:rsidRPr="00A00009" w:rsidRDefault="006B4599" w:rsidP="006B4599">
      <w:pPr>
        <w:pStyle w:val="ListParagraph"/>
        <w:numPr>
          <w:ilvl w:val="0"/>
          <w:numId w:val="5"/>
        </w:numPr>
        <w:rPr>
          <w:rFonts w:asciiTheme="minorHAnsi" w:hAnsiTheme="minorHAnsi" w:cstheme="minorHAnsi"/>
        </w:rPr>
      </w:pPr>
      <w:r w:rsidRPr="00A00009">
        <w:rPr>
          <w:rFonts w:asciiTheme="minorHAnsi" w:hAnsiTheme="minorHAnsi" w:cstheme="minorHAnsi"/>
        </w:rPr>
        <w:t xml:space="preserve">Application of </w:t>
      </w:r>
      <w:hyperlink r:id="rId14" w:history="1">
        <w:r w:rsidRPr="00A00009">
          <w:rPr>
            <w:rStyle w:val="Hyperlink"/>
            <w:rFonts w:asciiTheme="minorHAnsi" w:hAnsiTheme="minorHAnsi" w:cstheme="minorHAnsi"/>
          </w:rPr>
          <w:t>Universal Design for Learning (UDL)</w:t>
        </w:r>
      </w:hyperlink>
      <w:r w:rsidRPr="00A00009">
        <w:rPr>
          <w:rFonts w:asciiTheme="minorHAnsi" w:hAnsiTheme="minorHAnsi" w:cstheme="minorHAnsi"/>
        </w:rPr>
        <w:t xml:space="preserve"> Principles,</w:t>
      </w:r>
    </w:p>
    <w:p w14:paraId="595C7F4D" w14:textId="002EF6DB" w:rsidR="00DE7D32" w:rsidRPr="00A00009" w:rsidRDefault="00DE7D32" w:rsidP="002819E8">
      <w:pPr>
        <w:pStyle w:val="ListParagraph"/>
        <w:numPr>
          <w:ilvl w:val="1"/>
          <w:numId w:val="8"/>
        </w:numPr>
        <w:ind w:left="1080"/>
        <w:rPr>
          <w:rFonts w:asciiTheme="minorHAnsi" w:hAnsiTheme="minorHAnsi" w:cstheme="minorHAnsi"/>
        </w:rPr>
      </w:pPr>
      <w:r w:rsidRPr="00A00009">
        <w:rPr>
          <w:rFonts w:asciiTheme="minorHAnsi" w:hAnsiTheme="minorHAnsi" w:cstheme="minorHAnsi"/>
        </w:rPr>
        <w:t>Set clear goals,</w:t>
      </w:r>
    </w:p>
    <w:p w14:paraId="0FF0A1E1" w14:textId="79EC73A8" w:rsidR="00DE7D32" w:rsidRPr="00A00009" w:rsidRDefault="00DE7D32" w:rsidP="002819E8">
      <w:pPr>
        <w:pStyle w:val="ListParagraph"/>
        <w:numPr>
          <w:ilvl w:val="1"/>
          <w:numId w:val="8"/>
        </w:numPr>
        <w:ind w:left="1080"/>
        <w:rPr>
          <w:rFonts w:asciiTheme="minorHAnsi" w:hAnsiTheme="minorHAnsi" w:cstheme="minorHAnsi"/>
        </w:rPr>
      </w:pPr>
      <w:r w:rsidRPr="00A00009">
        <w:rPr>
          <w:rFonts w:asciiTheme="minorHAnsi" w:hAnsiTheme="minorHAnsi" w:cstheme="minorHAnsi"/>
        </w:rPr>
        <w:t>Use variable instructional methods based on learner variability,</w:t>
      </w:r>
    </w:p>
    <w:p w14:paraId="00FBD292" w14:textId="77777777" w:rsidR="00DE7D32" w:rsidRPr="00A00009" w:rsidRDefault="00DE7D32" w:rsidP="002819E8">
      <w:pPr>
        <w:pStyle w:val="ListParagraph"/>
        <w:numPr>
          <w:ilvl w:val="1"/>
          <w:numId w:val="8"/>
        </w:numPr>
        <w:ind w:left="1080"/>
        <w:rPr>
          <w:rFonts w:asciiTheme="minorHAnsi" w:hAnsiTheme="minorHAnsi" w:cstheme="minorHAnsi"/>
        </w:rPr>
      </w:pPr>
      <w:r w:rsidRPr="00A00009">
        <w:rPr>
          <w:rFonts w:asciiTheme="minorHAnsi" w:hAnsiTheme="minorHAnsi" w:cstheme="minorHAnsi"/>
        </w:rPr>
        <w:t xml:space="preserve">Include learning-supportive materials in various formats, </w:t>
      </w:r>
    </w:p>
    <w:p w14:paraId="5526CF5B" w14:textId="47084CF5" w:rsidR="00DE7D32" w:rsidRPr="00A00009" w:rsidRDefault="00DE7D32" w:rsidP="002819E8">
      <w:pPr>
        <w:pStyle w:val="ListParagraph"/>
        <w:numPr>
          <w:ilvl w:val="1"/>
          <w:numId w:val="8"/>
        </w:numPr>
        <w:ind w:left="1080"/>
        <w:rPr>
          <w:rFonts w:asciiTheme="minorHAnsi" w:hAnsiTheme="minorHAnsi" w:cstheme="minorHAnsi"/>
        </w:rPr>
      </w:pPr>
      <w:r w:rsidRPr="00A00009">
        <w:rPr>
          <w:rFonts w:asciiTheme="minorHAnsi" w:hAnsiTheme="minorHAnsi" w:cstheme="minorHAnsi"/>
        </w:rPr>
        <w:t>Monitor student progress through timely assessments.</w:t>
      </w:r>
    </w:p>
    <w:p w14:paraId="413F938D" w14:textId="77777777" w:rsidR="00D80ED9" w:rsidRPr="00A00009" w:rsidRDefault="00D80ED9" w:rsidP="002819E8">
      <w:pPr>
        <w:rPr>
          <w:rFonts w:asciiTheme="minorHAnsi" w:hAnsiTheme="minorHAnsi" w:cstheme="minorHAnsi"/>
        </w:rPr>
      </w:pPr>
    </w:p>
    <w:p w14:paraId="37CC6017" w14:textId="5DA32759" w:rsidR="006B4599" w:rsidRPr="00A00009" w:rsidRDefault="006B4599" w:rsidP="006B4599">
      <w:pPr>
        <w:pStyle w:val="ListParagraph"/>
        <w:numPr>
          <w:ilvl w:val="0"/>
          <w:numId w:val="5"/>
        </w:numPr>
        <w:rPr>
          <w:rFonts w:asciiTheme="minorHAnsi" w:hAnsiTheme="minorHAnsi" w:cstheme="minorHAnsi"/>
        </w:rPr>
      </w:pPr>
      <w:r w:rsidRPr="00A00009">
        <w:rPr>
          <w:rFonts w:asciiTheme="minorHAnsi" w:hAnsiTheme="minorHAnsi" w:cstheme="minorHAnsi"/>
        </w:rPr>
        <w:t>Tone and Rhetoric – Inclusive a</w:t>
      </w:r>
      <w:r w:rsidR="004F0117" w:rsidRPr="00A00009">
        <w:rPr>
          <w:rFonts w:asciiTheme="minorHAnsi" w:hAnsiTheme="minorHAnsi" w:cstheme="minorHAnsi"/>
        </w:rPr>
        <w:t>n</w:t>
      </w:r>
      <w:r w:rsidRPr="00A00009">
        <w:rPr>
          <w:rFonts w:asciiTheme="minorHAnsi" w:hAnsiTheme="minorHAnsi" w:cstheme="minorHAnsi"/>
        </w:rPr>
        <w:t>d Motivating Language,</w:t>
      </w:r>
    </w:p>
    <w:p w14:paraId="79632269" w14:textId="32E3ECD6" w:rsidR="00363EA6" w:rsidRPr="00A00009" w:rsidRDefault="00363EA6" w:rsidP="002819E8">
      <w:pPr>
        <w:pStyle w:val="ListParagraph"/>
        <w:numPr>
          <w:ilvl w:val="1"/>
          <w:numId w:val="9"/>
        </w:numPr>
        <w:ind w:left="1080"/>
        <w:rPr>
          <w:rFonts w:asciiTheme="minorHAnsi" w:hAnsiTheme="minorHAnsi" w:cstheme="minorHAnsi"/>
        </w:rPr>
      </w:pPr>
      <w:r w:rsidRPr="00A00009">
        <w:rPr>
          <w:rFonts w:asciiTheme="minorHAnsi" w:hAnsiTheme="minorHAnsi" w:cstheme="minorHAnsi"/>
        </w:rPr>
        <w:t>Write syllabi and other course materials in friendly, enthusiastic, tones that evoke anticipation of student success.</w:t>
      </w:r>
    </w:p>
    <w:p w14:paraId="1016E75B" w14:textId="59AACF60" w:rsidR="00363EA6" w:rsidRPr="00A00009" w:rsidRDefault="00363EA6" w:rsidP="002819E8">
      <w:pPr>
        <w:pStyle w:val="ListParagraph"/>
        <w:numPr>
          <w:ilvl w:val="1"/>
          <w:numId w:val="9"/>
        </w:numPr>
        <w:ind w:left="1080"/>
        <w:rPr>
          <w:rFonts w:asciiTheme="minorHAnsi" w:hAnsiTheme="minorHAnsi" w:cstheme="minorHAnsi"/>
        </w:rPr>
      </w:pPr>
      <w:r w:rsidRPr="00A00009">
        <w:rPr>
          <w:rFonts w:asciiTheme="minorHAnsi" w:hAnsiTheme="minorHAnsi" w:cstheme="minorHAnsi"/>
        </w:rPr>
        <w:t>Foster language that promotes positive motivation and envisions students as competent and engaged learners.</w:t>
      </w:r>
      <w:r w:rsidR="00661E7B" w:rsidRPr="00A00009">
        <w:rPr>
          <w:rFonts w:asciiTheme="minorHAnsi" w:hAnsiTheme="minorHAnsi" w:cstheme="minorHAnsi"/>
        </w:rPr>
        <w:t xml:space="preserve"> This may include using personal pronouns or less formal language that is unambiguous.</w:t>
      </w:r>
    </w:p>
    <w:p w14:paraId="79A4482F" w14:textId="77777777" w:rsidR="00D80ED9" w:rsidRPr="00A00009" w:rsidRDefault="00D80ED9" w:rsidP="002819E8">
      <w:pPr>
        <w:rPr>
          <w:rFonts w:asciiTheme="minorHAnsi" w:hAnsiTheme="minorHAnsi" w:cstheme="minorHAnsi"/>
        </w:rPr>
      </w:pPr>
    </w:p>
    <w:p w14:paraId="69BCF674" w14:textId="624FC6D6" w:rsidR="006B4599" w:rsidRPr="00A00009" w:rsidRDefault="006B4599" w:rsidP="006B4599">
      <w:pPr>
        <w:pStyle w:val="ListParagraph"/>
        <w:numPr>
          <w:ilvl w:val="0"/>
          <w:numId w:val="5"/>
        </w:numPr>
        <w:rPr>
          <w:rFonts w:asciiTheme="minorHAnsi" w:hAnsiTheme="minorHAnsi" w:cstheme="minorHAnsi"/>
        </w:rPr>
      </w:pPr>
      <w:r w:rsidRPr="00A00009">
        <w:rPr>
          <w:rFonts w:asciiTheme="minorHAnsi" w:hAnsiTheme="minorHAnsi" w:cstheme="minorHAnsi"/>
        </w:rPr>
        <w:t>Supportive Course Policies,</w:t>
      </w:r>
    </w:p>
    <w:p w14:paraId="788508B1" w14:textId="06C1E8CF" w:rsidR="00661E7B" w:rsidRPr="00A00009" w:rsidRDefault="00661E7B" w:rsidP="002819E8">
      <w:pPr>
        <w:pStyle w:val="ListParagraph"/>
        <w:numPr>
          <w:ilvl w:val="1"/>
          <w:numId w:val="10"/>
        </w:numPr>
        <w:ind w:left="1080"/>
        <w:rPr>
          <w:rFonts w:asciiTheme="minorHAnsi" w:hAnsiTheme="minorHAnsi" w:cstheme="minorHAnsi"/>
        </w:rPr>
      </w:pPr>
      <w:r w:rsidRPr="00A00009">
        <w:rPr>
          <w:rFonts w:asciiTheme="minorHAnsi" w:hAnsiTheme="minorHAnsi" w:cstheme="minorHAnsi"/>
        </w:rPr>
        <w:t xml:space="preserve">Include language on the use and rationale of policies such as attendance, academic honesty, classroom </w:t>
      </w:r>
      <w:r w:rsidR="00EC080F" w:rsidRPr="00A00009">
        <w:rPr>
          <w:rFonts w:asciiTheme="minorHAnsi" w:hAnsiTheme="minorHAnsi" w:cstheme="minorHAnsi"/>
        </w:rPr>
        <w:t>etiquette</w:t>
      </w:r>
      <w:r w:rsidRPr="00A00009">
        <w:rPr>
          <w:rFonts w:asciiTheme="minorHAnsi" w:hAnsiTheme="minorHAnsi" w:cstheme="minorHAnsi"/>
        </w:rPr>
        <w:t>, technology, and accommodations.</w:t>
      </w:r>
    </w:p>
    <w:p w14:paraId="03234D5B" w14:textId="23DDF555" w:rsidR="00661E7B" w:rsidRPr="00A00009" w:rsidRDefault="00661E7B" w:rsidP="002819E8">
      <w:pPr>
        <w:pStyle w:val="ListParagraph"/>
        <w:numPr>
          <w:ilvl w:val="1"/>
          <w:numId w:val="10"/>
        </w:numPr>
        <w:ind w:left="1080"/>
        <w:rPr>
          <w:rFonts w:asciiTheme="minorHAnsi" w:hAnsiTheme="minorHAnsi" w:cstheme="minorHAnsi"/>
        </w:rPr>
      </w:pPr>
      <w:r w:rsidRPr="00A00009">
        <w:rPr>
          <w:rFonts w:asciiTheme="minorHAnsi" w:hAnsiTheme="minorHAnsi" w:cstheme="minorHAnsi"/>
        </w:rPr>
        <w:t xml:space="preserve">Share University and community resources and help normalize their use. </w:t>
      </w:r>
    </w:p>
    <w:p w14:paraId="08115973" w14:textId="77777777" w:rsidR="00D80ED9" w:rsidRPr="00A00009" w:rsidRDefault="00D80ED9" w:rsidP="002819E8">
      <w:pPr>
        <w:rPr>
          <w:rFonts w:asciiTheme="minorHAnsi" w:hAnsiTheme="minorHAnsi" w:cstheme="minorHAnsi"/>
        </w:rPr>
      </w:pPr>
    </w:p>
    <w:p w14:paraId="46D39468" w14:textId="409D3311" w:rsidR="006B4599" w:rsidRPr="00A00009" w:rsidRDefault="006B4599" w:rsidP="006B4599">
      <w:pPr>
        <w:pStyle w:val="ListParagraph"/>
        <w:numPr>
          <w:ilvl w:val="0"/>
          <w:numId w:val="5"/>
        </w:numPr>
        <w:rPr>
          <w:rFonts w:asciiTheme="minorHAnsi" w:hAnsiTheme="minorHAnsi" w:cstheme="minorHAnsi"/>
        </w:rPr>
      </w:pPr>
      <w:r w:rsidRPr="00A00009">
        <w:rPr>
          <w:rFonts w:asciiTheme="minorHAnsi" w:hAnsiTheme="minorHAnsi" w:cstheme="minorHAnsi"/>
        </w:rPr>
        <w:t>Accessible Design.</w:t>
      </w:r>
    </w:p>
    <w:p w14:paraId="1DFC4BD2" w14:textId="4EEC983B" w:rsidR="00EC080F" w:rsidRPr="00A00009" w:rsidRDefault="00EC080F" w:rsidP="002819E8">
      <w:pPr>
        <w:pStyle w:val="ListParagraph"/>
        <w:numPr>
          <w:ilvl w:val="1"/>
          <w:numId w:val="11"/>
        </w:numPr>
        <w:ind w:left="1080"/>
        <w:rPr>
          <w:rFonts w:asciiTheme="minorHAnsi" w:hAnsiTheme="minorHAnsi" w:cstheme="minorHAnsi"/>
        </w:rPr>
      </w:pPr>
      <w:r w:rsidRPr="00A00009">
        <w:rPr>
          <w:rFonts w:asciiTheme="minorHAnsi" w:hAnsiTheme="minorHAnsi" w:cstheme="minorHAnsi"/>
        </w:rPr>
        <w:t xml:space="preserve">Ensure that syllabi and other material are accessible to screen readers and easy to navigate. </w:t>
      </w:r>
    </w:p>
    <w:p w14:paraId="267E87B5" w14:textId="77777777" w:rsidR="00D80ED9" w:rsidRPr="00A00009" w:rsidRDefault="00EC080F" w:rsidP="002819E8">
      <w:pPr>
        <w:pStyle w:val="ListParagraph"/>
        <w:numPr>
          <w:ilvl w:val="1"/>
          <w:numId w:val="11"/>
        </w:numPr>
        <w:ind w:left="1080"/>
        <w:rPr>
          <w:rFonts w:asciiTheme="minorHAnsi" w:hAnsiTheme="minorHAnsi" w:cstheme="minorHAnsi"/>
        </w:rPr>
      </w:pPr>
      <w:r w:rsidRPr="00A00009">
        <w:rPr>
          <w:rFonts w:asciiTheme="minorHAnsi" w:hAnsiTheme="minorHAnsi" w:cstheme="minorHAnsi"/>
        </w:rPr>
        <w:t xml:space="preserve">Include visual representations (alt-text) of images, logos, and other content. </w:t>
      </w:r>
    </w:p>
    <w:p w14:paraId="4208FE47" w14:textId="1FA6E153" w:rsidR="00EC080F" w:rsidRPr="00A00009" w:rsidRDefault="00D80ED9" w:rsidP="002819E8">
      <w:pPr>
        <w:pStyle w:val="ListParagraph"/>
        <w:numPr>
          <w:ilvl w:val="1"/>
          <w:numId w:val="11"/>
        </w:numPr>
        <w:ind w:left="1080"/>
        <w:rPr>
          <w:rFonts w:asciiTheme="minorHAnsi" w:hAnsiTheme="minorHAnsi" w:cstheme="minorHAnsi"/>
        </w:rPr>
      </w:pPr>
      <w:r w:rsidRPr="00A00009">
        <w:rPr>
          <w:rFonts w:asciiTheme="minorHAnsi" w:hAnsiTheme="minorHAnsi" w:cstheme="minorHAnsi"/>
        </w:rPr>
        <w:t xml:space="preserve">When possible, consider including </w:t>
      </w:r>
      <w:r w:rsidRPr="00A00009">
        <w:rPr>
          <w:rFonts w:asciiTheme="minorHAnsi" w:eastAsia="Calibri" w:hAnsiTheme="minorHAnsi" w:cstheme="minorHAnsi"/>
          <w:color w:val="000000"/>
        </w:rPr>
        <w:t xml:space="preserve">Open Educational Resources (OER’s), free and openly licensed course content to replace or supplement for-purchase content, such as an e-textbook. For more information, visit </w:t>
      </w:r>
      <w:hyperlink r:id="rId15" w:history="1">
        <w:r w:rsidRPr="00A00009">
          <w:rPr>
            <w:rStyle w:val="Hyperlink"/>
            <w:rFonts w:asciiTheme="minorHAnsi" w:eastAsia="Calibri" w:hAnsiTheme="minorHAnsi" w:cstheme="minorHAnsi"/>
          </w:rPr>
          <w:t>USC Libraries OER Guide</w:t>
        </w:r>
      </w:hyperlink>
    </w:p>
    <w:p w14:paraId="425DE247" w14:textId="77777777" w:rsidR="006B4599" w:rsidRPr="00A00009" w:rsidRDefault="006B4599">
      <w:pPr>
        <w:pStyle w:val="Heading3"/>
        <w:rPr>
          <w:rFonts w:cstheme="minorHAnsi"/>
        </w:rPr>
      </w:pPr>
    </w:p>
    <w:p w14:paraId="55C88EEB" w14:textId="77777777" w:rsidR="000E03CF" w:rsidRPr="00A00009" w:rsidRDefault="00CF7D69">
      <w:pPr>
        <w:pStyle w:val="Heading3"/>
        <w:rPr>
          <w:rFonts w:cstheme="minorHAnsi"/>
        </w:rPr>
      </w:pPr>
      <w:r w:rsidRPr="00A00009">
        <w:rPr>
          <w:rFonts w:cstheme="minorHAnsi"/>
        </w:rPr>
        <w:t xml:space="preserve">USC resources to </w:t>
      </w:r>
      <w:proofErr w:type="gramStart"/>
      <w:r w:rsidRPr="00A00009">
        <w:rPr>
          <w:rFonts w:cstheme="minorHAnsi"/>
        </w:rPr>
        <w:t>consider</w:t>
      </w:r>
      <w:proofErr w:type="gramEnd"/>
    </w:p>
    <w:p w14:paraId="1B458E9D" w14:textId="5FCA0249" w:rsidR="00386A53" w:rsidRPr="00A00009" w:rsidRDefault="002E3A7F">
      <w:pPr>
        <w:pBdr>
          <w:top w:val="nil"/>
          <w:left w:val="nil"/>
          <w:bottom w:val="nil"/>
          <w:right w:val="nil"/>
          <w:between w:val="nil"/>
        </w:pBdr>
        <w:spacing w:after="240"/>
        <w:ind w:left="274"/>
        <w:rPr>
          <w:rFonts w:asciiTheme="minorHAnsi" w:eastAsia="Calibri" w:hAnsiTheme="minorHAnsi" w:cstheme="minorHAnsi"/>
          <w:b/>
          <w:color w:val="000000"/>
        </w:rPr>
      </w:pPr>
      <w:r>
        <w:rPr>
          <w:rFonts w:asciiTheme="minorHAnsi" w:hAnsiTheme="minorHAnsi" w:cstheme="minorHAnsi"/>
        </w:rPr>
        <w:t xml:space="preserve">USC </w:t>
      </w:r>
      <w:hyperlink r:id="rId16" w:history="1">
        <w:r w:rsidR="00386A53" w:rsidRPr="00A00009">
          <w:rPr>
            <w:rStyle w:val="Hyperlink"/>
            <w:rFonts w:asciiTheme="minorHAnsi" w:eastAsia="Calibri" w:hAnsiTheme="minorHAnsi" w:cstheme="minorHAnsi"/>
            <w:b/>
          </w:rPr>
          <w:t>Faculty Decision Guide</w:t>
        </w:r>
      </w:hyperlink>
    </w:p>
    <w:p w14:paraId="0A1FA3C4" w14:textId="5B4444A7" w:rsidR="000E03CF" w:rsidRPr="00A00009" w:rsidRDefault="00CF7D69">
      <w:pPr>
        <w:pBdr>
          <w:top w:val="nil"/>
          <w:left w:val="nil"/>
          <w:bottom w:val="nil"/>
          <w:right w:val="nil"/>
          <w:between w:val="nil"/>
        </w:pBdr>
        <w:spacing w:after="240"/>
        <w:ind w:left="274"/>
        <w:rPr>
          <w:rFonts w:asciiTheme="minorHAnsi" w:eastAsia="Calibri" w:hAnsiTheme="minorHAnsi" w:cstheme="minorHAnsi"/>
          <w:color w:val="000000"/>
        </w:rPr>
      </w:pPr>
      <w:proofErr w:type="spellStart"/>
      <w:r w:rsidRPr="00A00009">
        <w:rPr>
          <w:rFonts w:asciiTheme="minorHAnsi" w:eastAsia="Calibri" w:hAnsiTheme="minorHAnsi" w:cstheme="minorHAnsi"/>
          <w:b/>
          <w:color w:val="000000"/>
        </w:rPr>
        <w:t>SCampus</w:t>
      </w:r>
      <w:proofErr w:type="spellEnd"/>
      <w:r w:rsidRPr="00A00009">
        <w:rPr>
          <w:rFonts w:asciiTheme="minorHAnsi" w:eastAsia="Calibri" w:hAnsiTheme="minorHAnsi" w:cstheme="minorHAnsi"/>
          <w:b/>
          <w:color w:val="000000"/>
        </w:rPr>
        <w:t>:</w:t>
      </w:r>
      <w:r w:rsidRPr="00A00009">
        <w:rPr>
          <w:rFonts w:asciiTheme="minorHAnsi" w:eastAsia="Calibri" w:hAnsiTheme="minorHAnsi" w:cstheme="minorHAnsi"/>
          <w:color w:val="000000"/>
        </w:rPr>
        <w:t xml:space="preserve"> </w:t>
      </w:r>
      <w:proofErr w:type="spellStart"/>
      <w:r w:rsidRPr="00A00009">
        <w:rPr>
          <w:rFonts w:asciiTheme="minorHAnsi" w:eastAsia="Calibri" w:hAnsiTheme="minorHAnsi" w:cstheme="minorHAnsi"/>
          <w:color w:val="000000"/>
        </w:rPr>
        <w:t>SCampus</w:t>
      </w:r>
      <w:proofErr w:type="spellEnd"/>
      <w:r w:rsidR="009024B0" w:rsidRPr="00A00009">
        <w:rPr>
          <w:rFonts w:asciiTheme="minorHAnsi" w:eastAsia="Calibri" w:hAnsiTheme="minorHAnsi" w:cstheme="minorHAnsi"/>
          <w:color w:val="000000"/>
        </w:rPr>
        <w:t xml:space="preserve"> The USC Student Handbook </w:t>
      </w:r>
      <w:r w:rsidRPr="00A00009">
        <w:rPr>
          <w:rFonts w:asciiTheme="minorHAnsi" w:eastAsia="Calibri" w:hAnsiTheme="minorHAnsi" w:cstheme="minorHAnsi"/>
          <w:color w:val="000000"/>
        </w:rPr>
        <w:t xml:space="preserve">Part D, Section 1: </w:t>
      </w:r>
      <w:hyperlink r:id="rId17">
        <w:r w:rsidRPr="00A00009">
          <w:rPr>
            <w:rFonts w:asciiTheme="minorHAnsi" w:eastAsia="Calibri" w:hAnsiTheme="minorHAnsi" w:cstheme="minorHAnsi"/>
            <w:color w:val="0000FF"/>
            <w:u w:val="single"/>
          </w:rPr>
          <w:t>Free Expression and Dissent</w:t>
        </w:r>
      </w:hyperlink>
    </w:p>
    <w:p w14:paraId="7ADA5A3C" w14:textId="2F197406" w:rsidR="000E03CF" w:rsidRPr="00A00009" w:rsidRDefault="00CF7D69">
      <w:pPr>
        <w:pBdr>
          <w:top w:val="nil"/>
          <w:left w:val="nil"/>
          <w:bottom w:val="nil"/>
          <w:right w:val="nil"/>
          <w:between w:val="nil"/>
        </w:pBdr>
        <w:spacing w:after="240"/>
        <w:ind w:left="274"/>
        <w:rPr>
          <w:rFonts w:asciiTheme="minorHAnsi" w:eastAsia="Calibri" w:hAnsiTheme="minorHAnsi" w:cstheme="minorHAnsi"/>
          <w:color w:val="000000"/>
        </w:rPr>
      </w:pPr>
      <w:r w:rsidRPr="00A00009">
        <w:rPr>
          <w:rFonts w:asciiTheme="minorHAnsi" w:eastAsia="Calibri" w:hAnsiTheme="minorHAnsi" w:cstheme="minorHAnsi"/>
          <w:b/>
          <w:color w:val="000000"/>
        </w:rPr>
        <w:t>USC Office of Diversity, Equity, and Inclusion:</w:t>
      </w:r>
      <w:r w:rsidRPr="00A00009">
        <w:rPr>
          <w:rFonts w:asciiTheme="minorHAnsi" w:eastAsia="Calibri" w:hAnsiTheme="minorHAnsi" w:cstheme="minorHAnsi"/>
          <w:color w:val="000000"/>
        </w:rPr>
        <w:t xml:space="preserve"> </w:t>
      </w:r>
      <w:hyperlink r:id="rId18">
        <w:r w:rsidRPr="00A00009">
          <w:rPr>
            <w:rFonts w:asciiTheme="minorHAnsi" w:eastAsia="Calibri" w:hAnsiTheme="minorHAnsi" w:cstheme="minorHAnsi"/>
            <w:color w:val="0000FF"/>
            <w:u w:val="single"/>
          </w:rPr>
          <w:t>USC Principles of Community</w:t>
        </w:r>
      </w:hyperlink>
    </w:p>
    <w:p w14:paraId="25C4AD4E" w14:textId="5BB590FC" w:rsidR="000E03CF" w:rsidRPr="00A00009" w:rsidRDefault="00CF7D69">
      <w:pPr>
        <w:pBdr>
          <w:top w:val="nil"/>
          <w:left w:val="nil"/>
          <w:bottom w:val="nil"/>
          <w:right w:val="nil"/>
          <w:between w:val="nil"/>
        </w:pBdr>
        <w:spacing w:after="240"/>
        <w:ind w:left="274"/>
        <w:rPr>
          <w:rFonts w:asciiTheme="minorHAnsi" w:eastAsia="Calibri" w:hAnsiTheme="minorHAnsi" w:cstheme="minorHAnsi"/>
          <w:color w:val="000000"/>
        </w:rPr>
      </w:pPr>
      <w:r w:rsidRPr="00A00009">
        <w:rPr>
          <w:rFonts w:asciiTheme="minorHAnsi" w:eastAsia="Calibri" w:hAnsiTheme="minorHAnsi" w:cstheme="minorHAnsi"/>
          <w:b/>
          <w:color w:val="000000"/>
        </w:rPr>
        <w:t>USC Diversity Resources for Students:</w:t>
      </w:r>
      <w:r w:rsidRPr="00A00009">
        <w:rPr>
          <w:rFonts w:asciiTheme="minorHAnsi" w:eastAsia="Calibri" w:hAnsiTheme="minorHAnsi" w:cstheme="minorHAnsi"/>
          <w:color w:val="000000"/>
        </w:rPr>
        <w:t xml:space="preserve"> Comprehensive </w:t>
      </w:r>
      <w:hyperlink r:id="rId19">
        <w:r w:rsidRPr="00A00009">
          <w:rPr>
            <w:rFonts w:asciiTheme="minorHAnsi" w:eastAsia="Calibri" w:hAnsiTheme="minorHAnsi" w:cstheme="minorHAnsi"/>
            <w:color w:val="0000FF"/>
            <w:u w:val="single"/>
          </w:rPr>
          <w:t>list of student resources</w:t>
        </w:r>
      </w:hyperlink>
      <w:r w:rsidRPr="00A00009">
        <w:rPr>
          <w:rFonts w:asciiTheme="minorHAnsi" w:eastAsia="Calibri" w:hAnsiTheme="minorHAnsi" w:cstheme="minorHAnsi"/>
          <w:color w:val="000000"/>
        </w:rPr>
        <w:t xml:space="preserve"> from the USC diversity website.</w:t>
      </w:r>
    </w:p>
    <w:p w14:paraId="05394668" w14:textId="6ED0CF82" w:rsidR="000E03CF" w:rsidRPr="00A00009" w:rsidRDefault="002E3A7F">
      <w:pPr>
        <w:pBdr>
          <w:top w:val="nil"/>
          <w:left w:val="nil"/>
          <w:bottom w:val="nil"/>
          <w:right w:val="nil"/>
          <w:between w:val="nil"/>
        </w:pBdr>
        <w:spacing w:after="240"/>
        <w:ind w:left="274"/>
        <w:rPr>
          <w:rFonts w:asciiTheme="minorHAnsi" w:eastAsia="Calibri" w:hAnsiTheme="minorHAnsi" w:cstheme="minorHAnsi"/>
          <w:color w:val="000000"/>
        </w:rPr>
      </w:pPr>
      <w:hyperlink r:id="rId20" w:history="1">
        <w:r w:rsidR="00CF7D69" w:rsidRPr="00A00009">
          <w:rPr>
            <w:rStyle w:val="Hyperlink"/>
            <w:rFonts w:asciiTheme="minorHAnsi" w:eastAsia="Calibri" w:hAnsiTheme="minorHAnsi" w:cstheme="minorHAnsi"/>
            <w:b/>
          </w:rPr>
          <w:t>USC Office of Student Accessibility Services (OSAS)</w:t>
        </w:r>
      </w:hyperlink>
      <w:r w:rsidR="00CF7D69" w:rsidRPr="00A00009">
        <w:rPr>
          <w:rFonts w:asciiTheme="minorHAnsi" w:eastAsia="Calibri" w:hAnsiTheme="minorHAnsi" w:cstheme="minorHAnsi"/>
          <w:b/>
          <w:color w:val="000000"/>
        </w:rPr>
        <w:t xml:space="preserve">. </w:t>
      </w:r>
    </w:p>
    <w:p w14:paraId="014EB8AF" w14:textId="77777777" w:rsidR="000E03CF" w:rsidRPr="00A00009" w:rsidRDefault="00CF7D69">
      <w:pPr>
        <w:pBdr>
          <w:top w:val="nil"/>
          <w:left w:val="nil"/>
          <w:bottom w:val="nil"/>
          <w:right w:val="nil"/>
          <w:between w:val="nil"/>
        </w:pBdr>
        <w:spacing w:after="240"/>
        <w:ind w:left="274"/>
        <w:rPr>
          <w:rFonts w:asciiTheme="minorHAnsi" w:eastAsia="Calibri" w:hAnsiTheme="minorHAnsi" w:cstheme="minorHAnsi"/>
          <w:color w:val="000000"/>
        </w:rPr>
      </w:pPr>
      <w:r w:rsidRPr="00A00009">
        <w:rPr>
          <w:rFonts w:asciiTheme="minorHAnsi" w:eastAsia="Calibri" w:hAnsiTheme="minorHAnsi" w:cstheme="minorHAnsi"/>
          <w:b/>
          <w:color w:val="000000"/>
        </w:rPr>
        <w:t>USC Office of Religious Life:</w:t>
      </w:r>
      <w:r w:rsidRPr="00A00009">
        <w:rPr>
          <w:rFonts w:asciiTheme="minorHAnsi" w:eastAsia="Calibri" w:hAnsiTheme="minorHAnsi" w:cstheme="minorHAnsi"/>
          <w:color w:val="000000"/>
        </w:rPr>
        <w:t xml:space="preserve"> </w:t>
      </w:r>
      <w:hyperlink r:id="rId21">
        <w:r w:rsidRPr="00A00009">
          <w:rPr>
            <w:rFonts w:asciiTheme="minorHAnsi" w:eastAsia="Calibri" w:hAnsiTheme="minorHAnsi" w:cstheme="minorHAnsi"/>
            <w:color w:val="0000FF"/>
            <w:u w:val="single"/>
          </w:rPr>
          <w:t>Policy on absence for observance of religious holy days</w:t>
        </w:r>
      </w:hyperlink>
      <w:r w:rsidRPr="00A00009">
        <w:rPr>
          <w:rFonts w:asciiTheme="minorHAnsi" w:eastAsia="Calibri" w:hAnsiTheme="minorHAnsi" w:cstheme="minorHAnsi"/>
          <w:color w:val="000000"/>
        </w:rPr>
        <w:t xml:space="preserve"> and best efforts not to schedule. Major exams and due dates on holy days of observation</w:t>
      </w:r>
    </w:p>
    <w:p w14:paraId="440FCE31" w14:textId="77777777" w:rsidR="000E03CF" w:rsidRPr="00A00009" w:rsidRDefault="00CF7D69">
      <w:pPr>
        <w:pBdr>
          <w:top w:val="nil"/>
          <w:left w:val="nil"/>
          <w:bottom w:val="nil"/>
          <w:right w:val="nil"/>
          <w:between w:val="nil"/>
        </w:pBdr>
        <w:spacing w:after="240"/>
        <w:ind w:left="274"/>
        <w:rPr>
          <w:rFonts w:asciiTheme="minorHAnsi" w:eastAsia="Calibri" w:hAnsiTheme="minorHAnsi" w:cstheme="minorHAnsi"/>
          <w:color w:val="0000FF"/>
          <w:u w:val="single"/>
        </w:rPr>
      </w:pPr>
      <w:r w:rsidRPr="00A00009">
        <w:rPr>
          <w:rFonts w:asciiTheme="minorHAnsi" w:eastAsia="Calibri" w:hAnsiTheme="minorHAnsi" w:cstheme="minorHAnsi"/>
          <w:b/>
          <w:color w:val="000000"/>
        </w:rPr>
        <w:t>Center for Excellence in Teaching (CET):</w:t>
      </w:r>
      <w:r w:rsidRPr="00A00009">
        <w:rPr>
          <w:rFonts w:asciiTheme="minorHAnsi" w:eastAsia="Calibri" w:hAnsiTheme="minorHAnsi" w:cstheme="minorHAnsi"/>
          <w:color w:val="000000"/>
        </w:rPr>
        <w:t xml:space="preserve"> </w:t>
      </w:r>
      <w:hyperlink r:id="rId22">
        <w:r w:rsidRPr="00A00009">
          <w:rPr>
            <w:rFonts w:asciiTheme="minorHAnsi" w:eastAsia="Calibri" w:hAnsiTheme="minorHAnsi" w:cstheme="minorHAnsi"/>
            <w:color w:val="0000FF"/>
            <w:u w:val="single"/>
          </w:rPr>
          <w:t>Course design, instruction, and evaluation</w:t>
        </w:r>
      </w:hyperlink>
    </w:p>
    <w:p w14:paraId="3881B0E7" w14:textId="77777777" w:rsidR="00EC080F" w:rsidRPr="00A00009" w:rsidRDefault="00EC080F">
      <w:pPr>
        <w:pBdr>
          <w:top w:val="nil"/>
          <w:left w:val="nil"/>
          <w:bottom w:val="nil"/>
          <w:right w:val="nil"/>
          <w:between w:val="nil"/>
        </w:pBdr>
        <w:spacing w:after="240"/>
        <w:ind w:left="274"/>
        <w:rPr>
          <w:rFonts w:asciiTheme="minorHAnsi" w:eastAsia="Calibri" w:hAnsiTheme="minorHAnsi" w:cstheme="minorHAnsi"/>
        </w:rPr>
      </w:pPr>
    </w:p>
    <w:p w14:paraId="43F3FF61" w14:textId="46D95255" w:rsidR="00EC080F" w:rsidRPr="00A00009" w:rsidRDefault="00EC080F" w:rsidP="00EC080F">
      <w:pPr>
        <w:pStyle w:val="Heading3"/>
        <w:rPr>
          <w:rFonts w:eastAsia="Calibri" w:cstheme="minorHAnsi"/>
        </w:rPr>
      </w:pPr>
      <w:r w:rsidRPr="00A00009">
        <w:rPr>
          <w:rFonts w:eastAsia="Calibri" w:cstheme="minorHAnsi"/>
        </w:rPr>
        <w:t>References</w:t>
      </w:r>
    </w:p>
    <w:p w14:paraId="1A46C307" w14:textId="42622892" w:rsidR="006B27BC" w:rsidRPr="00A00009" w:rsidRDefault="006B27BC" w:rsidP="006B27BC">
      <w:pPr>
        <w:rPr>
          <w:rFonts w:asciiTheme="minorHAnsi" w:eastAsia="Calibri" w:hAnsiTheme="minorHAnsi" w:cstheme="minorHAnsi"/>
        </w:rPr>
      </w:pPr>
      <w:r w:rsidRPr="00A00009">
        <w:rPr>
          <w:rFonts w:asciiTheme="minorHAnsi" w:eastAsia="Calibri" w:hAnsiTheme="minorHAnsi" w:cstheme="minorHAnsi"/>
        </w:rPr>
        <w:t xml:space="preserve">Kumar, R. &amp; </w:t>
      </w:r>
      <w:proofErr w:type="spellStart"/>
      <w:r w:rsidRPr="00A00009">
        <w:rPr>
          <w:rFonts w:asciiTheme="minorHAnsi" w:eastAsia="Calibri" w:hAnsiTheme="minorHAnsi" w:cstheme="minorHAnsi"/>
        </w:rPr>
        <w:t>Refaei</w:t>
      </w:r>
      <w:proofErr w:type="spellEnd"/>
      <w:r w:rsidRPr="00A00009">
        <w:rPr>
          <w:rFonts w:asciiTheme="minorHAnsi" w:eastAsia="Calibri" w:hAnsiTheme="minorHAnsi" w:cstheme="minorHAnsi"/>
        </w:rPr>
        <w:t xml:space="preserve">. B. (2021). </w:t>
      </w:r>
      <w:hyperlink r:id="rId23" w:history="1">
        <w:r w:rsidRPr="00A00009">
          <w:rPr>
            <w:rStyle w:val="Hyperlink"/>
            <w:rFonts w:asciiTheme="minorHAnsi" w:eastAsia="Calibri" w:hAnsiTheme="minorHAnsi" w:cstheme="minorHAnsi"/>
          </w:rPr>
          <w:t>Equity and Inclusion in Higher Education: Strategies for Teaching</w:t>
        </w:r>
      </w:hyperlink>
      <w:r w:rsidRPr="00A00009">
        <w:rPr>
          <w:rFonts w:asciiTheme="minorHAnsi" w:eastAsia="Calibri" w:hAnsiTheme="minorHAnsi" w:cstheme="minorHAnsi"/>
        </w:rPr>
        <w:t>. University of Cincinnati Press.</w:t>
      </w:r>
    </w:p>
    <w:p w14:paraId="6A65E84F" w14:textId="72C39189" w:rsidR="00EC080F" w:rsidRPr="00A00009" w:rsidRDefault="00EC080F" w:rsidP="002819E8">
      <w:pPr>
        <w:rPr>
          <w:rFonts w:asciiTheme="minorHAnsi" w:eastAsia="Calibri" w:hAnsiTheme="minorHAnsi" w:cstheme="minorHAnsi"/>
        </w:rPr>
      </w:pPr>
    </w:p>
    <w:sectPr w:rsidR="00EC080F" w:rsidRPr="00A00009">
      <w:footerReference w:type="first" r:id="rId24"/>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017A" w14:textId="77777777" w:rsidR="009D0645" w:rsidRDefault="009D0645">
      <w:r>
        <w:separator/>
      </w:r>
    </w:p>
  </w:endnote>
  <w:endnote w:type="continuationSeparator" w:id="0">
    <w:p w14:paraId="09369A16" w14:textId="77777777" w:rsidR="009D0645" w:rsidRDefault="009D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National Book">
    <w:panose1 w:val="020B0604020202020204"/>
    <w:charset w:val="00"/>
    <w:family w:val="auto"/>
    <w:notTrueType/>
    <w:pitch w:val="variable"/>
    <w:sig w:usb0="A00000FF" w:usb1="5000207B" w:usb2="00000010" w:usb3="00000000" w:csb0="0000009B" w:csb1="00000000"/>
  </w:font>
  <w:font w:name="National Semibold">
    <w:panose1 w:val="020B0604020202020204"/>
    <w:charset w:val="4D"/>
    <w:family w:val="auto"/>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9779" w14:textId="77777777" w:rsidR="000E03CF" w:rsidRDefault="00CF7D69">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sidR="002E3A7F">
      <w:rPr>
        <w:rFonts w:ascii="Calibri" w:eastAsia="Calibri" w:hAnsi="Calibri" w:cs="Calibri"/>
      </w:rPr>
      <w:fldChar w:fldCharType="separate"/>
    </w:r>
    <w:r>
      <w:rPr>
        <w:rFonts w:ascii="Calibri" w:eastAsia="Calibri" w:hAnsi="Calibri" w:cs="Calibri"/>
      </w:rPr>
      <w:fldChar w:fldCharType="end"/>
    </w:r>
  </w:p>
  <w:p w14:paraId="0A0BC8CA" w14:textId="77777777" w:rsidR="000E03CF" w:rsidRDefault="00CF7D69">
    <w:r>
      <w:rPr>
        <w:noProof/>
      </w:rPr>
      <w:drawing>
        <wp:inline distT="114300" distB="114300" distL="114300" distR="114300" wp14:anchorId="799D37AA" wp14:editId="1F6D78BF">
          <wp:extent cx="3269809" cy="256764"/>
          <wp:effectExtent l="0" t="0" r="0" b="0"/>
          <wp:docPr id="9"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DB4B" w14:textId="77777777" w:rsidR="009D0645" w:rsidRDefault="009D0645">
      <w:r>
        <w:separator/>
      </w:r>
    </w:p>
  </w:footnote>
  <w:footnote w:type="continuationSeparator" w:id="0">
    <w:p w14:paraId="0D9A8588" w14:textId="77777777" w:rsidR="009D0645" w:rsidRDefault="009D0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419"/>
    <w:multiLevelType w:val="hybridMultilevel"/>
    <w:tmpl w:val="A8B0F9A4"/>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514A0F"/>
    <w:multiLevelType w:val="multilevel"/>
    <w:tmpl w:val="B7E0843A"/>
    <w:lvl w:ilvl="0">
      <w:start w:val="1"/>
      <w:numFmt w:val="decimal"/>
      <w:pStyle w:val="Bullet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1D5EA8"/>
    <w:multiLevelType w:val="multilevel"/>
    <w:tmpl w:val="2646AB9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9C93C67"/>
    <w:multiLevelType w:val="hybridMultilevel"/>
    <w:tmpl w:val="F7AE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90793"/>
    <w:multiLevelType w:val="hybridMultilevel"/>
    <w:tmpl w:val="7094808E"/>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5564E3"/>
    <w:multiLevelType w:val="hybridMultilevel"/>
    <w:tmpl w:val="A33EFF62"/>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5D7580"/>
    <w:multiLevelType w:val="hybridMultilevel"/>
    <w:tmpl w:val="030A104A"/>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ACD3DB6"/>
    <w:multiLevelType w:val="hybridMultilevel"/>
    <w:tmpl w:val="7EBA13CC"/>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91197E"/>
    <w:multiLevelType w:val="hybridMultilevel"/>
    <w:tmpl w:val="D4CC1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978DE"/>
    <w:multiLevelType w:val="multilevel"/>
    <w:tmpl w:val="488227FE"/>
    <w:lvl w:ilvl="0">
      <w:start w:val="1"/>
      <w:numFmt w:val="bullet"/>
      <w:lvlText w:val="●"/>
      <w:lvlJc w:val="left"/>
      <w:pPr>
        <w:ind w:left="994"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B32F13"/>
    <w:multiLevelType w:val="hybridMultilevel"/>
    <w:tmpl w:val="C778BB2E"/>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7306451">
    <w:abstractNumId w:val="2"/>
  </w:num>
  <w:num w:numId="2" w16cid:durableId="1370642668">
    <w:abstractNumId w:val="9"/>
  </w:num>
  <w:num w:numId="3" w16cid:durableId="140511651">
    <w:abstractNumId w:val="1"/>
  </w:num>
  <w:num w:numId="4" w16cid:durableId="192814699">
    <w:abstractNumId w:val="3"/>
  </w:num>
  <w:num w:numId="5" w16cid:durableId="1400901731">
    <w:abstractNumId w:val="8"/>
  </w:num>
  <w:num w:numId="6" w16cid:durableId="766463039">
    <w:abstractNumId w:val="7"/>
  </w:num>
  <w:num w:numId="7" w16cid:durableId="183057528">
    <w:abstractNumId w:val="6"/>
  </w:num>
  <w:num w:numId="8" w16cid:durableId="816383505">
    <w:abstractNumId w:val="10"/>
  </w:num>
  <w:num w:numId="9" w16cid:durableId="328367941">
    <w:abstractNumId w:val="5"/>
  </w:num>
  <w:num w:numId="10" w16cid:durableId="1554853542">
    <w:abstractNumId w:val="0"/>
  </w:num>
  <w:num w:numId="11" w16cid:durableId="1081566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3CF"/>
    <w:rsid w:val="000E03CF"/>
    <w:rsid w:val="000F66BC"/>
    <w:rsid w:val="002819E8"/>
    <w:rsid w:val="002E3A7F"/>
    <w:rsid w:val="00363EA6"/>
    <w:rsid w:val="00386A53"/>
    <w:rsid w:val="004F0117"/>
    <w:rsid w:val="00550D77"/>
    <w:rsid w:val="00661E7B"/>
    <w:rsid w:val="006B27BC"/>
    <w:rsid w:val="006B4599"/>
    <w:rsid w:val="00770589"/>
    <w:rsid w:val="00805478"/>
    <w:rsid w:val="009024B0"/>
    <w:rsid w:val="009D0645"/>
    <w:rsid w:val="00A00009"/>
    <w:rsid w:val="00A541F0"/>
    <w:rsid w:val="00AC029A"/>
    <w:rsid w:val="00B45F65"/>
    <w:rsid w:val="00B96453"/>
    <w:rsid w:val="00CF7D69"/>
    <w:rsid w:val="00D80ED9"/>
    <w:rsid w:val="00DE7D32"/>
    <w:rsid w:val="00EC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E5370"/>
  <w15:docId w15:val="{F4CC12F4-5CBE-8245-AAC0-A435D65B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2D"/>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semiHidden/>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FE3"/>
    <w:pPr>
      <w:contextualSpacing/>
    </w:pPr>
    <w:rPr>
      <w:rFonts w:asciiTheme="majorHAnsi" w:eastAsiaTheme="majorEastAsia" w:hAnsiTheme="majorHAnsi" w:cstheme="majorBidi"/>
      <w:spacing w:val="-10"/>
      <w:kern w:val="28"/>
      <w:sz w:val="56"/>
      <w:szCs w:val="56"/>
    </w:rPr>
  </w:style>
  <w:style w:type="paragraph" w:customStyle="1" w:styleId="Bulletlist1">
    <w:name w:val="Bullet list 1"/>
    <w:basedOn w:val="BodyText"/>
    <w:qFormat/>
    <w:rsid w:val="00103126"/>
    <w:pPr>
      <w:numPr>
        <w:numId w:val="3"/>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55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2DF5"/>
    <w:rPr>
      <w:color w:val="605E5C"/>
      <w:shd w:val="clear" w:color="auto" w:fill="E1DFDD"/>
    </w:rPr>
  </w:style>
  <w:style w:type="paragraph" w:styleId="ListParagraph">
    <w:name w:val="List Paragraph"/>
    <w:basedOn w:val="Normal"/>
    <w:uiPriority w:val="34"/>
    <w:rsid w:val="002314AA"/>
    <w:pPr>
      <w:ind w:left="720"/>
      <w:contextualSpacing/>
    </w:pPr>
  </w:style>
  <w:style w:type="paragraph" w:styleId="Revision">
    <w:name w:val="Revision"/>
    <w:hidden/>
    <w:uiPriority w:val="99"/>
    <w:semiHidden/>
    <w:rsid w:val="00B9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et.usc.edu/teaching-resources/steps-to-plan-design-and-develop-your-course/" TargetMode="External"/><Relationship Id="rId18" Type="http://schemas.openxmlformats.org/officeDocument/2006/relationships/hyperlink" Target="https://diversity.usc.edu/usc-principles-of-commun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rsl.usc.edu/life/calendar/absences/" TargetMode="External"/><Relationship Id="rId7" Type="http://schemas.openxmlformats.org/officeDocument/2006/relationships/endnotes" Target="endnotes.xml"/><Relationship Id="rId12" Type="http://schemas.openxmlformats.org/officeDocument/2006/relationships/hyperlink" Target="https://cet.usc.edu/teaching-resources/effective-instructor-feedback/" TargetMode="External"/><Relationship Id="rId17" Type="http://schemas.openxmlformats.org/officeDocument/2006/relationships/hyperlink" Target="https://policy.usc.edu/wp-content/uploads/2021/04/SCampus-Part-D.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et.usc.edu/teaching-resources/faculty-decision-guide/" TargetMode="External"/><Relationship Id="rId20" Type="http://schemas.openxmlformats.org/officeDocument/2006/relationships/hyperlink" Target="https://osa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t.usc.edu/teaching-resources/blooms-taxonom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bguides.usc.edu/oer" TargetMode="External"/><Relationship Id="rId23" Type="http://schemas.openxmlformats.org/officeDocument/2006/relationships/hyperlink" Target="https://web-s-ebscohost-com.libproxy1.usc.edu/ehost/ebookviewer/ebook?sid=eda9b816-4db9-485f-b890-8bec2d004746%40redis&amp;vid=0&amp;format=EK" TargetMode="External"/><Relationship Id="rId10" Type="http://schemas.openxmlformats.org/officeDocument/2006/relationships/hyperlink" Target="https://cet.usc.edu/contact-us/" TargetMode="External"/><Relationship Id="rId19" Type="http://schemas.openxmlformats.org/officeDocument/2006/relationships/hyperlink" Target="https://diversity.usc.edu/student-advocacy-groups-and-resources/" TargetMode="External"/><Relationship Id="rId4" Type="http://schemas.openxmlformats.org/officeDocument/2006/relationships/settings" Target="settings.xml"/><Relationship Id="rId9" Type="http://schemas.openxmlformats.org/officeDocument/2006/relationships/hyperlink" Target="https://cet.usc.edu/teaching-resources/syllabus-template/" TargetMode="External"/><Relationship Id="rId14" Type="http://schemas.openxmlformats.org/officeDocument/2006/relationships/hyperlink" Target="https://cet.usc.edu/teaching-resources/universal-design-for-learning-udl/" TargetMode="External"/><Relationship Id="rId22"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4zcguqVrANsOEYx3EJLW8yH2Q==">AMUW2mW+5wOXuR2H65DYUj2NQIopQwaJ+G3hzgEqmZkdLOGcYLxsxfH1h72nczu/JJMFAwrDDVpHhFb5/eaGj06iySmdmxv3NAVkW7lZL6G11+wbvFLYYBw=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Jeanine Borland Mann</cp:lastModifiedBy>
  <cp:revision>9</cp:revision>
  <dcterms:created xsi:type="dcterms:W3CDTF">2023-09-22T23:20:00Z</dcterms:created>
  <dcterms:modified xsi:type="dcterms:W3CDTF">2023-10-20T16:22:00Z</dcterms:modified>
</cp:coreProperties>
</file>