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5C66" w14:textId="77777777" w:rsidR="00276642" w:rsidRDefault="000D6F02" w:rsidP="009C4CBC">
      <w:pPr>
        <w:pStyle w:val="BodyText"/>
        <w:tabs>
          <w:tab w:val="left" w:pos="8820"/>
        </w:tabs>
      </w:pPr>
      <w:r>
        <w:rPr>
          <w:noProof/>
        </w:rPr>
        <w:drawing>
          <wp:inline distT="114300" distB="114300" distL="114300" distR="114300" wp14:anchorId="216924B1" wp14:editId="59B1569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6A09B7D" w14:textId="39735097" w:rsidR="000C5D5F" w:rsidRDefault="000C5D5F" w:rsidP="000C5D5F">
      <w:pPr>
        <w:pStyle w:val="Heading1"/>
      </w:pPr>
      <w:r>
        <w:t xml:space="preserve">CET Asynchronous </w:t>
      </w:r>
      <w:r w:rsidR="00B32CA2">
        <w:t>o</w:t>
      </w:r>
      <w:r>
        <w:t xml:space="preserve">nline </w:t>
      </w:r>
      <w:r w:rsidR="00B32CA2">
        <w:t>t</w:t>
      </w:r>
      <w:r>
        <w:t xml:space="preserve">eaching </w:t>
      </w:r>
      <w:r w:rsidR="00B32CA2">
        <w:t>o</w:t>
      </w:r>
      <w:r>
        <w:t xml:space="preserve">bservation </w:t>
      </w:r>
      <w:r w:rsidR="00B32CA2">
        <w:t>c</w:t>
      </w:r>
      <w:r>
        <w:t>hecklist</w:t>
      </w:r>
    </w:p>
    <w:p w14:paraId="60E0F1C1" w14:textId="0A47269A" w:rsidR="00FB7453" w:rsidRDefault="00FB7453" w:rsidP="00FC290D">
      <w:pPr>
        <w:pStyle w:val="Heading2"/>
      </w:pPr>
      <w:r>
        <w:t>Introduction</w:t>
      </w:r>
    </w:p>
    <w:p w14:paraId="30A75C78" w14:textId="077A0115" w:rsidR="00FB7453" w:rsidRDefault="00FB7453" w:rsidP="00FB7453">
      <w:pPr>
        <w:pStyle w:val="BodyText"/>
      </w:pPr>
      <w:r>
        <w:t xml:space="preserve">The CET Asynchronous Online Teaching Observation Checklist provides </w:t>
      </w:r>
      <w:r w:rsidRPr="00743E51">
        <w:t>performance</w:t>
      </w:r>
      <w:r>
        <w:t xml:space="preserve"> descriptions for three tiers of online instructional practices, reflecting a progression of recommended teaching practices.</w:t>
      </w:r>
    </w:p>
    <w:p w14:paraId="1F933BE4" w14:textId="79BEA4EB" w:rsidR="00FB7453" w:rsidRDefault="00FB7453" w:rsidP="007A39AC">
      <w:pPr>
        <w:pStyle w:val="Bulletlist1"/>
        <w:numPr>
          <w:ilvl w:val="0"/>
          <w:numId w:val="2"/>
        </w:numPr>
      </w:pPr>
      <w:r>
        <w:t xml:space="preserve">Tier 1: </w:t>
      </w:r>
      <w:r w:rsidRPr="00FA79B4">
        <w:t>Performing at Minimum USC Teaching Policy Standard</w:t>
      </w:r>
      <w:r w:rsidR="00FC290D">
        <w:t>.</w:t>
      </w:r>
    </w:p>
    <w:p w14:paraId="6E6D5A90" w14:textId="6E8830A2" w:rsidR="00FB7453" w:rsidRDefault="00FB7453" w:rsidP="007A39AC">
      <w:pPr>
        <w:pStyle w:val="Bulletlist1"/>
        <w:numPr>
          <w:ilvl w:val="0"/>
          <w:numId w:val="2"/>
        </w:numPr>
      </w:pPr>
      <w:r>
        <w:t>Tier 2:</w:t>
      </w:r>
      <w:r w:rsidRPr="00FA79B4">
        <w:t xml:space="preserve"> Performing at Proficient Level of Teaching Standard at USC</w:t>
      </w:r>
      <w:r w:rsidR="00FC290D">
        <w:t>.</w:t>
      </w:r>
    </w:p>
    <w:p w14:paraId="7438441D" w14:textId="21C9C522" w:rsidR="00FB7453" w:rsidRDefault="00FB7453" w:rsidP="007A39AC">
      <w:pPr>
        <w:pStyle w:val="Bulletlist1"/>
        <w:numPr>
          <w:ilvl w:val="0"/>
          <w:numId w:val="2"/>
        </w:numPr>
      </w:pPr>
      <w:r>
        <w:t xml:space="preserve">Tier 3: </w:t>
      </w:r>
      <w:r w:rsidRPr="00FA79B4">
        <w:t>Performing at Excellence Level of Teaching Standard at USC</w:t>
      </w:r>
      <w:r w:rsidR="00FC290D">
        <w:t>.</w:t>
      </w:r>
    </w:p>
    <w:p w14:paraId="2D9A0BD7" w14:textId="549C6345" w:rsidR="00FB7453" w:rsidRDefault="00FB7453" w:rsidP="00FB7453">
      <w:pPr>
        <w:pStyle w:val="BodyText"/>
      </w:pPr>
      <w:r>
        <w:t>The checklist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09C501F6" w14:textId="0E993792" w:rsidR="00FB7453" w:rsidRDefault="00FB7453" w:rsidP="00FB7453">
      <w:pPr>
        <w:pStyle w:val="BodyText"/>
      </w:pPr>
      <w:r>
        <w:t>This checklist was developed to include recommended practices that can be implemented within a wide variety of teaching models, both traditional and innovative; it is editable so that schools may add or delete items to customize it to their needs. Checklist items are observable actions and behaviors of the instructor, not the behaviors of students.</w:t>
      </w:r>
    </w:p>
    <w:p w14:paraId="65E8FF73" w14:textId="26F585ED" w:rsidR="00FB7453" w:rsidRDefault="00FB7453" w:rsidP="00FB7453">
      <w:pPr>
        <w:pStyle w:val="BodyText"/>
      </w:pPr>
      <w:r>
        <w:t xml:space="preserve">Schools could determine how many criteria in each tier should be met </w:t>
      </w:r>
      <w:proofErr w:type="gramStart"/>
      <w:r>
        <w:t>in order to</w:t>
      </w:r>
      <w:proofErr w:type="gramEnd"/>
      <w:r>
        <w:t xml:space="preserve"> qualify for the various levels of advancement in the school.</w:t>
      </w:r>
    </w:p>
    <w:p w14:paraId="369CCAC0" w14:textId="77777777" w:rsidR="00FB7453" w:rsidRDefault="00FB7453" w:rsidP="00FC290D">
      <w:pPr>
        <w:pStyle w:val="Heading2"/>
      </w:pPr>
      <w:r>
        <w:t>Not included in the Synchronous Online Classroom Teaching Observation Checklist</w:t>
      </w:r>
    </w:p>
    <w:p w14:paraId="381AF7C6" w14:textId="50B57DF2" w:rsidR="00FB7453" w:rsidRDefault="00FB7453" w:rsidP="007A39AC">
      <w:pPr>
        <w:pStyle w:val="Bulletlist1"/>
        <w:numPr>
          <w:ilvl w:val="0"/>
          <w:numId w:val="3"/>
        </w:numPr>
      </w:pPr>
      <w:r>
        <w:t>Evaluation of course design, which is addressed in a separate Asynchronous Online Course Design Syllabus Review Checklist.</w:t>
      </w:r>
    </w:p>
    <w:p w14:paraId="7DA04077" w14:textId="77777777" w:rsidR="00FB7453" w:rsidRDefault="00FB7453" w:rsidP="007A39AC">
      <w:pPr>
        <w:pStyle w:val="Bulletlist1"/>
        <w:numPr>
          <w:ilvl w:val="0"/>
          <w:numId w:val="3"/>
        </w:numPr>
      </w:pPr>
      <w:r>
        <w:t>Aspects of teaching that cannot be observed in the online environment.</w:t>
      </w:r>
    </w:p>
    <w:p w14:paraId="07D617C2" w14:textId="77777777" w:rsidR="00FB7453" w:rsidRDefault="00FB7453" w:rsidP="007A39AC">
      <w:pPr>
        <w:pStyle w:val="Bulletlist1"/>
        <w:numPr>
          <w:ilvl w:val="0"/>
          <w:numId w:val="3"/>
        </w:numPr>
      </w:pPr>
      <w:r>
        <w:t>Best practices that are specific to certain fields, class types or instructional styles.</w:t>
      </w:r>
    </w:p>
    <w:p w14:paraId="3B5A3123" w14:textId="77777777" w:rsidR="00FB7453" w:rsidRDefault="00FB7453" w:rsidP="00FC290D">
      <w:pPr>
        <w:pStyle w:val="Heading2"/>
      </w:pPr>
      <w:r>
        <w:t>Recommended observer characteristics</w:t>
      </w:r>
    </w:p>
    <w:p w14:paraId="0E1BE662" w14:textId="50099FA7" w:rsidR="00FB7453" w:rsidRDefault="00FB7453" w:rsidP="007A39AC">
      <w:pPr>
        <w:pStyle w:val="Bulletlist1"/>
        <w:numPr>
          <w:ilvl w:val="0"/>
          <w:numId w:val="4"/>
        </w:numPr>
      </w:pPr>
      <w:r w:rsidRPr="00FB7453">
        <w:t>Requests access to the course to be observed</w:t>
      </w:r>
      <w:r>
        <w:t>.</w:t>
      </w:r>
    </w:p>
    <w:p w14:paraId="5F61E8D5" w14:textId="535B7AB9" w:rsidR="00FB7453" w:rsidRDefault="00FB7453" w:rsidP="007A39AC">
      <w:pPr>
        <w:pStyle w:val="Bulletlist1"/>
        <w:numPr>
          <w:ilvl w:val="0"/>
          <w:numId w:val="4"/>
        </w:numPr>
      </w:pPr>
      <w:r w:rsidRPr="00FB7453">
        <w:t>Observes a minimum of one completed online module/unit (one that students have completed and for which the instructor has provided feedback). Observation of two separate completed online module/units is recommended</w:t>
      </w:r>
      <w:r>
        <w:t>.</w:t>
      </w:r>
    </w:p>
    <w:p w14:paraId="4A2E2C2A" w14:textId="77777777" w:rsidR="00FB7453" w:rsidRDefault="00FB7453" w:rsidP="007A39AC">
      <w:pPr>
        <w:pStyle w:val="Bulletlist1"/>
        <w:numPr>
          <w:ilvl w:val="0"/>
          <w:numId w:val="4"/>
        </w:numPr>
      </w:pPr>
      <w:r>
        <w:t>Is familiar with the course learning objectives listed in the syllabus.</w:t>
      </w:r>
    </w:p>
    <w:p w14:paraId="6861199A" w14:textId="77777777" w:rsidR="00FB7453" w:rsidRDefault="00FB7453" w:rsidP="007A39AC">
      <w:pPr>
        <w:pStyle w:val="Bulletlist1"/>
        <w:numPr>
          <w:ilvl w:val="0"/>
          <w:numId w:val="4"/>
        </w:numPr>
      </w:pPr>
      <w:r>
        <w:lastRenderedPageBreak/>
        <w:t xml:space="preserve">Understands the content of the course well enough to evaluate effectiveness of instruction in that topic. </w:t>
      </w:r>
    </w:p>
    <w:p w14:paraId="70201AAF" w14:textId="77777777" w:rsidR="00FB7453" w:rsidRDefault="00FB7453" w:rsidP="007A39AC">
      <w:pPr>
        <w:pStyle w:val="Bulletlist1"/>
        <w:numPr>
          <w:ilvl w:val="0"/>
          <w:numId w:val="4"/>
        </w:numPr>
      </w:pPr>
      <w:r>
        <w:t>Has been trained by CET or by a CET Faculty Fellow to use the checklist.</w:t>
      </w:r>
    </w:p>
    <w:p w14:paraId="1AACA170" w14:textId="77777777" w:rsidR="00FB7453" w:rsidRDefault="00FB7453" w:rsidP="00FC290D">
      <w:pPr>
        <w:pStyle w:val="Heading2"/>
      </w:pPr>
      <w:r>
        <w:t>Instructions for use</w:t>
      </w:r>
    </w:p>
    <w:p w14:paraId="6BBA14E2" w14:textId="77777777" w:rsidR="00FB7453" w:rsidRDefault="00FB7453" w:rsidP="00FB7453">
      <w:pPr>
        <w:pStyle w:val="BodyText"/>
      </w:pPr>
      <w:r>
        <w:t>Check off all items observed during the class.</w:t>
      </w:r>
    </w:p>
    <w:p w14:paraId="5CC02214" w14:textId="77777777" w:rsidR="00FB7453" w:rsidRDefault="00FB7453" w:rsidP="00FB7453">
      <w:pPr>
        <w:pStyle w:val="BodyText"/>
      </w:pPr>
      <w:r>
        <w:t xml:space="preserve">Each dimension in the checklist measures one or more criteria in USC’s Definition of Excellence in Teaching. </w:t>
      </w:r>
      <w:r w:rsidRPr="00A36D37">
        <w:t>USC Definition of Excellence in Teaching criteria measured by each dimension are noted</w:t>
      </w:r>
      <w:r>
        <w:t xml:space="preserve"> by the index of the criteria in the definition; for example, 5a.</w:t>
      </w:r>
    </w:p>
    <w:p w14:paraId="2F903911" w14:textId="77777777" w:rsidR="00FB7453" w:rsidRDefault="00FB7453" w:rsidP="00FB7453">
      <w:pPr>
        <w:pStyle w:val="Heading3"/>
      </w:pPr>
      <w:r>
        <w:t>Class organization</w:t>
      </w:r>
    </w:p>
    <w:p w14:paraId="4AEA177E" w14:textId="77777777" w:rsidR="00FB7453" w:rsidRDefault="00FB7453" w:rsidP="00FB7453">
      <w:pPr>
        <w:pStyle w:val="Heading4"/>
      </w:pPr>
      <w:r>
        <w:t>Instructional plan</w:t>
      </w:r>
    </w:p>
    <w:p w14:paraId="11942035" w14:textId="404C0B84" w:rsidR="00FB7453" w:rsidRDefault="00FB7453" w:rsidP="00FB7453">
      <w:pPr>
        <w:pStyle w:val="BodyText"/>
      </w:pPr>
      <w:r w:rsidRPr="0068558A">
        <w:t>Aligns with Excellence in Teaching criteria 5a, 5b</w:t>
      </w:r>
      <w:r w:rsidR="00FC290D">
        <w:t>.</w:t>
      </w:r>
    </w:p>
    <w:p w14:paraId="337777C6" w14:textId="2BC2D77C" w:rsidR="00FB7453" w:rsidRDefault="00FB7453" w:rsidP="007A39AC">
      <w:pPr>
        <w:pStyle w:val="Bulletlist1"/>
        <w:numPr>
          <w:ilvl w:val="0"/>
          <w:numId w:val="5"/>
        </w:numPr>
      </w:pPr>
      <w:r>
        <w:t xml:space="preserve">The module/unit instructional plan demonstrates clear signs of planning and </w:t>
      </w:r>
      <w:r w:rsidR="00FC290D">
        <w:t>organization and</w:t>
      </w:r>
      <w:r>
        <w:t xml:space="preserve"> follows a logical flow (Tier 1)</w:t>
      </w:r>
      <w:r w:rsidR="00FC290D">
        <w:t>.</w:t>
      </w:r>
    </w:p>
    <w:p w14:paraId="778C1EFC" w14:textId="7040782E" w:rsidR="00FB7453" w:rsidRDefault="00FB7453" w:rsidP="007A39AC">
      <w:pPr>
        <w:pStyle w:val="Bulletlist1"/>
        <w:numPr>
          <w:ilvl w:val="0"/>
          <w:numId w:val="5"/>
        </w:numPr>
      </w:pPr>
      <w:r>
        <w:t>Module/unit instructional plan includes due dates and assignment descriptions</w:t>
      </w:r>
      <w:r w:rsidR="00FC290D">
        <w:t xml:space="preserve"> </w:t>
      </w:r>
      <w:r>
        <w:t>(Tier 1)</w:t>
      </w:r>
      <w:r w:rsidR="00FC290D">
        <w:t>.</w:t>
      </w:r>
    </w:p>
    <w:p w14:paraId="639C5494" w14:textId="6DE4C620" w:rsidR="00FB7453" w:rsidRDefault="00FB7453" w:rsidP="007A39AC">
      <w:pPr>
        <w:pStyle w:val="Bulletlist1"/>
        <w:numPr>
          <w:ilvl w:val="0"/>
          <w:numId w:val="5"/>
        </w:numPr>
      </w:pPr>
      <w:r>
        <w:t>The class session includes student interaction with peers, content, and instructor (Tier 2)</w:t>
      </w:r>
      <w:r w:rsidR="00FC290D">
        <w:t>.</w:t>
      </w:r>
    </w:p>
    <w:p w14:paraId="4317B352" w14:textId="297E508C" w:rsidR="00FB7453" w:rsidRDefault="00FB7453" w:rsidP="007A39AC">
      <w:pPr>
        <w:pStyle w:val="Bulletlist1"/>
        <w:numPr>
          <w:ilvl w:val="0"/>
          <w:numId w:val="5"/>
        </w:numPr>
      </w:pPr>
      <w:r>
        <w:t>The module/unit instructional plan includes instruction, formative assessment, and reflection components (Tier 3)</w:t>
      </w:r>
      <w:r w:rsidR="00FC290D">
        <w:t>.</w:t>
      </w:r>
    </w:p>
    <w:p w14:paraId="35570827" w14:textId="3829751B" w:rsidR="00FB7453" w:rsidRPr="0068558A" w:rsidRDefault="00FB7453" w:rsidP="007A39AC">
      <w:pPr>
        <w:pStyle w:val="Bulletlist1"/>
        <w:numPr>
          <w:ilvl w:val="0"/>
          <w:numId w:val="5"/>
        </w:numPr>
      </w:pPr>
      <w:r>
        <w:t>Each assignment description has an accompanying rubric (Tier 3)</w:t>
      </w:r>
      <w:r w:rsidR="00FC290D">
        <w:t>.</w:t>
      </w:r>
    </w:p>
    <w:p w14:paraId="1680A5EA" w14:textId="77777777" w:rsidR="00FB7453" w:rsidRPr="00FC290D" w:rsidRDefault="00FB7453" w:rsidP="00FB7453">
      <w:pPr>
        <w:pStyle w:val="BodyText"/>
        <w:rPr>
          <w:rStyle w:val="Emphasis"/>
          <w:i w:val="0"/>
          <w:iCs w:val="0"/>
        </w:rPr>
      </w:pPr>
      <w:r w:rsidRPr="000C5AFE">
        <w:t>Note: Formative assessment refers to assignments intended to help students evaluate their mastery of a skill or learning objective and provide information to the instructor on student progress</w:t>
      </w:r>
      <w:r>
        <w:t>. These are usually assignments that are weighted less heavily toward the overall course grade.</w:t>
      </w:r>
    </w:p>
    <w:p w14:paraId="6069D0FB" w14:textId="4242194A" w:rsidR="00FB7453" w:rsidRDefault="00FB7453" w:rsidP="00FB7453">
      <w:pPr>
        <w:pStyle w:val="Heading4"/>
      </w:pPr>
      <w:r>
        <w:t xml:space="preserve">Communication of clear learning objectives for the </w:t>
      </w:r>
      <w:r w:rsidR="008D2A68">
        <w:t>module/unit</w:t>
      </w:r>
    </w:p>
    <w:p w14:paraId="56831841" w14:textId="72239F2E" w:rsidR="00FB7453" w:rsidRDefault="00FB7453" w:rsidP="00FB7453">
      <w:pPr>
        <w:pStyle w:val="BodyText"/>
      </w:pPr>
      <w:r w:rsidRPr="0068558A">
        <w:t>Aligns with Excellence in Teaching criterion 6a</w:t>
      </w:r>
      <w:r w:rsidR="00FC290D">
        <w:t>.</w:t>
      </w:r>
    </w:p>
    <w:p w14:paraId="785BC3EB" w14:textId="04B53E73" w:rsidR="008D2A68" w:rsidRDefault="008D2A68" w:rsidP="007A39AC">
      <w:pPr>
        <w:pStyle w:val="Bulletlist1"/>
        <w:numPr>
          <w:ilvl w:val="0"/>
          <w:numId w:val="6"/>
        </w:numPr>
      </w:pPr>
      <w:r>
        <w:t xml:space="preserve">Instructor clearly identifies realistic learning </w:t>
      </w:r>
      <w:r w:rsidR="00AE1B01">
        <w:t xml:space="preserve">objectives </w:t>
      </w:r>
      <w:r>
        <w:t>for the module/uni</w:t>
      </w:r>
      <w:r w:rsidR="00FC290D">
        <w:t>t</w:t>
      </w:r>
      <w:r>
        <w:t xml:space="preserve"> (Tier 1)</w:t>
      </w:r>
      <w:r w:rsidR="00FC290D">
        <w:t>.</w:t>
      </w:r>
    </w:p>
    <w:p w14:paraId="492328A4" w14:textId="3DE5B82A" w:rsidR="008D2A68" w:rsidRDefault="008D2A68" w:rsidP="007A39AC">
      <w:pPr>
        <w:pStyle w:val="Bulletlist1"/>
        <w:numPr>
          <w:ilvl w:val="0"/>
          <w:numId w:val="6"/>
        </w:numPr>
      </w:pPr>
      <w:r>
        <w:t xml:space="preserve">Instructor clearly connects the learning </w:t>
      </w:r>
      <w:r w:rsidR="00AE1B01">
        <w:t xml:space="preserve">objectives </w:t>
      </w:r>
      <w:r>
        <w:t>for the module/</w:t>
      </w:r>
      <w:r w:rsidR="00FC290D">
        <w:t>unit to</w:t>
      </w:r>
      <w:r>
        <w:t xml:space="preserve"> the course learning objectives (Tier 2)</w:t>
      </w:r>
      <w:r w:rsidR="00FC290D">
        <w:t>.</w:t>
      </w:r>
    </w:p>
    <w:p w14:paraId="2EDD6B61" w14:textId="3FF55992" w:rsidR="008D2A68" w:rsidRPr="0068558A" w:rsidRDefault="008D2A68" w:rsidP="007A39AC">
      <w:pPr>
        <w:pStyle w:val="Bulletlist1"/>
        <w:numPr>
          <w:ilvl w:val="0"/>
          <w:numId w:val="6"/>
        </w:numPr>
      </w:pPr>
      <w:r>
        <w:t xml:space="preserve">Instructor clearly identifies the learning </w:t>
      </w:r>
      <w:r w:rsidR="00AE1B01">
        <w:t xml:space="preserve">objectives </w:t>
      </w:r>
      <w:r>
        <w:t>for the module/</w:t>
      </w:r>
      <w:r w:rsidR="00FC290D">
        <w:t>unit and</w:t>
      </w:r>
      <w:r>
        <w:t xml:space="preserve"> connects them to the course learning objectives (Tier 3)</w:t>
      </w:r>
      <w:r w:rsidR="00FC290D">
        <w:t>.</w:t>
      </w:r>
    </w:p>
    <w:p w14:paraId="7E28B628" w14:textId="689CC8FE" w:rsidR="00FB7453" w:rsidRDefault="008D2A68" w:rsidP="00FB7453">
      <w:pPr>
        <w:pStyle w:val="Heading4"/>
      </w:pPr>
      <w:r>
        <w:t>Course environment and technology</w:t>
      </w:r>
    </w:p>
    <w:p w14:paraId="7AE12619" w14:textId="73639E46" w:rsidR="00FB7453" w:rsidRDefault="00FB7453" w:rsidP="00FB7453">
      <w:pPr>
        <w:pStyle w:val="BodyText"/>
      </w:pPr>
      <w:r w:rsidRPr="0068558A">
        <w:t>Aligns with Excellence in Teaching criteria 5c, 5d</w:t>
      </w:r>
      <w:r w:rsidR="00FC290D">
        <w:t>.</w:t>
      </w:r>
    </w:p>
    <w:p w14:paraId="6548D41E" w14:textId="71904D94" w:rsidR="008D2A68" w:rsidRDefault="008D2A68" w:rsidP="007A39AC">
      <w:pPr>
        <w:pStyle w:val="Bulletlist1"/>
        <w:numPr>
          <w:ilvl w:val="0"/>
          <w:numId w:val="7"/>
        </w:numPr>
      </w:pPr>
      <w:r>
        <w:lastRenderedPageBreak/>
        <w:t>Course tools are used that allow the student to complete the required activity (Tier 1)</w:t>
      </w:r>
      <w:r w:rsidR="00FC290D">
        <w:t>.</w:t>
      </w:r>
    </w:p>
    <w:p w14:paraId="18C63485" w14:textId="7BFB44EE" w:rsidR="008D2A68" w:rsidRDefault="008D2A68" w:rsidP="007A39AC">
      <w:pPr>
        <w:pStyle w:val="Bulletlist1"/>
        <w:numPr>
          <w:ilvl w:val="0"/>
          <w:numId w:val="7"/>
        </w:numPr>
      </w:pPr>
      <w:r>
        <w:t>Course tools promote learner engagement (Tier 2)</w:t>
      </w:r>
      <w:r w:rsidR="00FC290D">
        <w:t>.</w:t>
      </w:r>
    </w:p>
    <w:p w14:paraId="0DF60C93" w14:textId="263936E2" w:rsidR="008D2A68" w:rsidRPr="0068558A" w:rsidRDefault="008D2A68" w:rsidP="007A39AC">
      <w:pPr>
        <w:pStyle w:val="Bulletlist1"/>
        <w:numPr>
          <w:ilvl w:val="0"/>
          <w:numId w:val="7"/>
        </w:numPr>
      </w:pPr>
      <w:r>
        <w:t xml:space="preserve">Instructor selects appropriate and varied course tools for activities, </w:t>
      </w:r>
      <w:r w:rsidR="00FC290D">
        <w:t>communication,</w:t>
      </w:r>
      <w:r>
        <w:t xml:space="preserve"> and assessments (Tier 3)</w:t>
      </w:r>
      <w:r w:rsidR="00FC290D">
        <w:t>.</w:t>
      </w:r>
    </w:p>
    <w:p w14:paraId="572F1D23" w14:textId="4037920B" w:rsidR="00FB7453" w:rsidRDefault="00FB7453" w:rsidP="00FB7453">
      <w:pPr>
        <w:pStyle w:val="BodyText"/>
      </w:pPr>
      <w:r>
        <w:t>Observer comments:</w:t>
      </w:r>
    </w:p>
    <w:p w14:paraId="457DBA81" w14:textId="77777777" w:rsidR="00FB7453" w:rsidRDefault="00FB7453" w:rsidP="00FB7453">
      <w:pPr>
        <w:pStyle w:val="Heading3"/>
      </w:pPr>
      <w:r>
        <w:t>Learning environment</w:t>
      </w:r>
    </w:p>
    <w:p w14:paraId="0368CB32" w14:textId="63A8DB70" w:rsidR="00FB7453" w:rsidRPr="00137BE7" w:rsidRDefault="008D2A68" w:rsidP="00FB7453">
      <w:pPr>
        <w:pStyle w:val="Heading4"/>
      </w:pPr>
      <w:r>
        <w:t>Course</w:t>
      </w:r>
      <w:r w:rsidR="00FB7453" w:rsidRPr="00137BE7">
        <w:t xml:space="preserve"> climate </w:t>
      </w:r>
    </w:p>
    <w:p w14:paraId="6647F8F4" w14:textId="5D5FD33C" w:rsidR="00FB7453" w:rsidRDefault="00FB7453" w:rsidP="00FB7453">
      <w:pPr>
        <w:pStyle w:val="BodyText"/>
      </w:pPr>
      <w:r w:rsidRPr="0068558A">
        <w:t>Aligns with Excellence in Teaching criteria</w:t>
      </w:r>
      <w:r>
        <w:t xml:space="preserve"> </w:t>
      </w:r>
      <w:r w:rsidRPr="00137BE7">
        <w:t>1b, 1c, 2e, 2f, 3a, 4e</w:t>
      </w:r>
      <w:r w:rsidR="00FC290D">
        <w:t>.</w:t>
      </w:r>
    </w:p>
    <w:p w14:paraId="11A42B1E" w14:textId="17C43632" w:rsidR="008D2A68" w:rsidRDefault="008D2A68" w:rsidP="007A39AC">
      <w:pPr>
        <w:pStyle w:val="Bulletlist1"/>
        <w:numPr>
          <w:ilvl w:val="0"/>
          <w:numId w:val="8"/>
        </w:numPr>
      </w:pPr>
      <w:r>
        <w:t>Instructor is responsive to students’ stress or anxiety (Tier 1)</w:t>
      </w:r>
      <w:r w:rsidR="00FC290D">
        <w:t>.</w:t>
      </w:r>
    </w:p>
    <w:p w14:paraId="6216C742" w14:textId="1007D6B2" w:rsidR="008D2A68" w:rsidRPr="00AD41CA" w:rsidRDefault="008D2A68" w:rsidP="007A39AC">
      <w:pPr>
        <w:pStyle w:val="Bulletlist1"/>
        <w:numPr>
          <w:ilvl w:val="0"/>
          <w:numId w:val="8"/>
        </w:numPr>
        <w:rPr>
          <w:lang w:val="fr-FR"/>
        </w:rPr>
      </w:pPr>
      <w:proofErr w:type="spellStart"/>
      <w:r w:rsidRPr="00AD41CA">
        <w:rPr>
          <w:lang w:val="fr-FR"/>
        </w:rPr>
        <w:t>Instructor</w:t>
      </w:r>
      <w:proofErr w:type="spellEnd"/>
      <w:r w:rsidRPr="00AD41CA">
        <w:rPr>
          <w:lang w:val="fr-FR"/>
        </w:rPr>
        <w:t xml:space="preserve"> encourages </w:t>
      </w:r>
      <w:proofErr w:type="spellStart"/>
      <w:r w:rsidRPr="00AD41CA">
        <w:rPr>
          <w:lang w:val="fr-FR"/>
        </w:rPr>
        <w:t>student</w:t>
      </w:r>
      <w:proofErr w:type="spellEnd"/>
      <w:r w:rsidRPr="00AD41CA">
        <w:rPr>
          <w:lang w:val="fr-FR"/>
        </w:rPr>
        <w:t xml:space="preserve"> participation (</w:t>
      </w:r>
      <w:proofErr w:type="spellStart"/>
      <w:r w:rsidRPr="00AD41CA">
        <w:rPr>
          <w:lang w:val="fr-FR"/>
        </w:rPr>
        <w:t>Tier</w:t>
      </w:r>
      <w:proofErr w:type="spellEnd"/>
      <w:r w:rsidRPr="00AD41CA">
        <w:rPr>
          <w:lang w:val="fr-FR"/>
        </w:rPr>
        <w:t xml:space="preserve"> 1)</w:t>
      </w:r>
      <w:r w:rsidR="00FC290D">
        <w:rPr>
          <w:lang w:val="fr-FR"/>
        </w:rPr>
        <w:t>.</w:t>
      </w:r>
    </w:p>
    <w:p w14:paraId="1EE71302" w14:textId="1A88E00B" w:rsidR="008D2A68" w:rsidRDefault="008D2A68" w:rsidP="007A39AC">
      <w:pPr>
        <w:pStyle w:val="Bulletlist1"/>
        <w:numPr>
          <w:ilvl w:val="0"/>
          <w:numId w:val="8"/>
        </w:numPr>
      </w:pPr>
      <w:r>
        <w:t xml:space="preserve">Instructor treats all students </w:t>
      </w:r>
      <w:r w:rsidR="00AE1B01">
        <w:t>equally</w:t>
      </w:r>
      <w:r w:rsidRPr="008D2A68">
        <w:t xml:space="preserve"> </w:t>
      </w:r>
      <w:r>
        <w:t>(Tier 1)</w:t>
      </w:r>
      <w:r w:rsidR="00FC290D">
        <w:t>.</w:t>
      </w:r>
    </w:p>
    <w:p w14:paraId="7A453B7E" w14:textId="7675A6B2" w:rsidR="008D2A68" w:rsidRDefault="008D2A68" w:rsidP="007A39AC">
      <w:pPr>
        <w:pStyle w:val="Bulletlist1"/>
        <w:numPr>
          <w:ilvl w:val="0"/>
          <w:numId w:val="8"/>
        </w:numPr>
      </w:pPr>
      <w:r>
        <w:t>Instructor is responsive to students’ different educational backgrounds and learning needs (Tier 1)</w:t>
      </w:r>
      <w:r w:rsidR="00FC290D">
        <w:t>.</w:t>
      </w:r>
    </w:p>
    <w:p w14:paraId="5719AF2D" w14:textId="21B6A21B" w:rsidR="008D2A68" w:rsidRDefault="008D2A68" w:rsidP="007A39AC">
      <w:pPr>
        <w:pStyle w:val="Bulletlist1"/>
        <w:numPr>
          <w:ilvl w:val="0"/>
          <w:numId w:val="8"/>
        </w:numPr>
      </w:pPr>
      <w:r>
        <w:t>Instructor has established course norms that foster a positive and inclusive environment (Tier 2)</w:t>
      </w:r>
      <w:r w:rsidR="00FC290D">
        <w:t>.</w:t>
      </w:r>
    </w:p>
    <w:p w14:paraId="03BEF3C0" w14:textId="3D708BF9" w:rsidR="008D2A68" w:rsidRDefault="008D2A68" w:rsidP="007A39AC">
      <w:pPr>
        <w:pStyle w:val="Bulletlist1"/>
        <w:numPr>
          <w:ilvl w:val="0"/>
          <w:numId w:val="8"/>
        </w:numPr>
      </w:pPr>
      <w:r>
        <w:t>Instructor encourages interaction between students (Tier 2)</w:t>
      </w:r>
      <w:r w:rsidR="00FC290D">
        <w:t>.</w:t>
      </w:r>
    </w:p>
    <w:p w14:paraId="46E5BABB" w14:textId="593410AC" w:rsidR="008D2A68" w:rsidRDefault="008D2A68" w:rsidP="007A39AC">
      <w:pPr>
        <w:pStyle w:val="Bulletlist1"/>
        <w:numPr>
          <w:ilvl w:val="0"/>
          <w:numId w:val="8"/>
        </w:numPr>
      </w:pPr>
      <w:r w:rsidRPr="00FC290D">
        <w:t>Instructor uses practices that increase students’ motivation and foster a growth mindset (Tier 3)</w:t>
      </w:r>
      <w:r w:rsidR="00FC290D">
        <w:t>.</w:t>
      </w:r>
    </w:p>
    <w:p w14:paraId="6DC48C19" w14:textId="77777777" w:rsidR="00FB7453" w:rsidRPr="00137BE7" w:rsidRDefault="00FB7453" w:rsidP="00FB7453">
      <w:pPr>
        <w:pStyle w:val="BodyText"/>
      </w:pPr>
      <w:r>
        <w:t>Note: The growth mindset is the perspective that abilities can be developed through persistence and effort; failure is a necessary step toward mastery.</w:t>
      </w:r>
    </w:p>
    <w:p w14:paraId="283F8063" w14:textId="4AFE24BF" w:rsidR="00FB7453" w:rsidRDefault="008D2A68" w:rsidP="00FB7453">
      <w:pPr>
        <w:pStyle w:val="Heading4"/>
      </w:pPr>
      <w:r>
        <w:t>Communication</w:t>
      </w:r>
    </w:p>
    <w:p w14:paraId="272D1F9F" w14:textId="2EEA8365" w:rsidR="00FB7453" w:rsidRDefault="00FB7453" w:rsidP="00FB7453">
      <w:pPr>
        <w:pStyle w:val="BodyText"/>
      </w:pPr>
      <w:r w:rsidRPr="0068558A">
        <w:t>Aligns with Excellence in Teaching criteria</w:t>
      </w:r>
      <w:r>
        <w:t xml:space="preserve"> 1a, 1b</w:t>
      </w:r>
      <w:r w:rsidR="00FC290D">
        <w:t>.</w:t>
      </w:r>
    </w:p>
    <w:p w14:paraId="729F3B5C" w14:textId="655F2061" w:rsidR="008D2A68" w:rsidRDefault="008D2A68" w:rsidP="007A39AC">
      <w:pPr>
        <w:pStyle w:val="Bulletlist1"/>
        <w:numPr>
          <w:ilvl w:val="0"/>
          <w:numId w:val="9"/>
        </w:numPr>
      </w:pPr>
      <w:r>
        <w:t>Instructor provides clear and complete instructions for all assignments and activities (Tier 1)</w:t>
      </w:r>
      <w:r w:rsidR="00FC290D">
        <w:t>.</w:t>
      </w:r>
    </w:p>
    <w:p w14:paraId="3739FC8D" w14:textId="5D537292" w:rsidR="008D2A68" w:rsidRDefault="008D2A68" w:rsidP="007A39AC">
      <w:pPr>
        <w:pStyle w:val="Bulletlist1"/>
        <w:numPr>
          <w:ilvl w:val="0"/>
          <w:numId w:val="9"/>
        </w:numPr>
      </w:pPr>
      <w:r>
        <w:t>Instructor participates in and manages communication (Tier 2)</w:t>
      </w:r>
      <w:r w:rsidR="00FC290D">
        <w:t>.</w:t>
      </w:r>
    </w:p>
    <w:p w14:paraId="5BE13911" w14:textId="0D6A252C" w:rsidR="008D2A68" w:rsidRDefault="008D2A68" w:rsidP="007A39AC">
      <w:pPr>
        <w:pStyle w:val="Bulletlist1"/>
        <w:numPr>
          <w:ilvl w:val="0"/>
          <w:numId w:val="9"/>
        </w:numPr>
      </w:pPr>
      <w:r>
        <w:t>Instructor frequently provides communication that promotes the stated learning objectives (Tier 3)</w:t>
      </w:r>
      <w:r w:rsidR="00FC290D">
        <w:t>.</w:t>
      </w:r>
    </w:p>
    <w:p w14:paraId="28767593" w14:textId="4DC6A655" w:rsidR="00FB7453" w:rsidRDefault="008D2A68" w:rsidP="00FB7453">
      <w:pPr>
        <w:pStyle w:val="Heading4"/>
      </w:pPr>
      <w:r>
        <w:t>Content</w:t>
      </w:r>
    </w:p>
    <w:p w14:paraId="63895700" w14:textId="46FE768C" w:rsidR="00FB7453" w:rsidRDefault="00FB7453" w:rsidP="00FB7453">
      <w:pPr>
        <w:pStyle w:val="BodyText"/>
      </w:pPr>
      <w:r w:rsidRPr="0068558A">
        <w:t>Aligns with Excellence in Teaching criteria</w:t>
      </w:r>
      <w:r>
        <w:t xml:space="preserve"> 4a, 4d, 3e</w:t>
      </w:r>
      <w:r w:rsidR="00FC290D">
        <w:t>.</w:t>
      </w:r>
    </w:p>
    <w:p w14:paraId="41EDE412" w14:textId="45C02802" w:rsidR="008D2A68" w:rsidRDefault="008D2A68" w:rsidP="007A39AC">
      <w:pPr>
        <w:pStyle w:val="Bulletlist1"/>
        <w:numPr>
          <w:ilvl w:val="0"/>
          <w:numId w:val="10"/>
        </w:numPr>
      </w:pPr>
      <w:r>
        <w:t>Instructor provides a variety of multimedia content (Tier 1)</w:t>
      </w:r>
      <w:r w:rsidR="00FC290D">
        <w:t>.</w:t>
      </w:r>
    </w:p>
    <w:p w14:paraId="48C94773" w14:textId="77CBB7B4" w:rsidR="008D2A68" w:rsidRDefault="008D2A68" w:rsidP="007A39AC">
      <w:pPr>
        <w:pStyle w:val="Bulletlist1"/>
        <w:numPr>
          <w:ilvl w:val="0"/>
          <w:numId w:val="10"/>
        </w:numPr>
      </w:pPr>
      <w:r>
        <w:t>Instructor uses concrete examples/illustrations to clarify content (Tier 1)</w:t>
      </w:r>
      <w:r w:rsidR="00FC290D">
        <w:t>.</w:t>
      </w:r>
    </w:p>
    <w:p w14:paraId="51465D22" w14:textId="07B855CC" w:rsidR="008D2A68" w:rsidRDefault="008D2A68" w:rsidP="007A39AC">
      <w:pPr>
        <w:pStyle w:val="Bulletlist1"/>
        <w:numPr>
          <w:ilvl w:val="0"/>
          <w:numId w:val="10"/>
        </w:numPr>
        <w:rPr>
          <w:lang w:val="fr-FR"/>
        </w:rPr>
      </w:pPr>
      <w:r w:rsidRPr="00C14208">
        <w:t>Instructor</w:t>
      </w:r>
      <w:r w:rsidRPr="008D2A68">
        <w:rPr>
          <w:lang w:val="fr-FR"/>
        </w:rPr>
        <w:t xml:space="preserve"> cites sources for content (</w:t>
      </w:r>
      <w:proofErr w:type="spellStart"/>
      <w:r w:rsidRPr="008D2A68">
        <w:rPr>
          <w:lang w:val="fr-FR"/>
        </w:rPr>
        <w:t>T</w:t>
      </w:r>
      <w:r>
        <w:rPr>
          <w:lang w:val="fr-FR"/>
        </w:rPr>
        <w:t>ier</w:t>
      </w:r>
      <w:proofErr w:type="spellEnd"/>
      <w:r>
        <w:rPr>
          <w:lang w:val="fr-FR"/>
        </w:rPr>
        <w:t xml:space="preserve"> 2)</w:t>
      </w:r>
      <w:r w:rsidR="00FC290D">
        <w:rPr>
          <w:lang w:val="fr-FR"/>
        </w:rPr>
        <w:t>.</w:t>
      </w:r>
    </w:p>
    <w:p w14:paraId="733E083C" w14:textId="3A6AC170" w:rsidR="008D2A68" w:rsidRPr="008D2A68" w:rsidRDefault="008D2A68" w:rsidP="007A39AC">
      <w:pPr>
        <w:pStyle w:val="Bulletlist1"/>
        <w:numPr>
          <w:ilvl w:val="0"/>
          <w:numId w:val="10"/>
        </w:numPr>
      </w:pPr>
      <w:r>
        <w:lastRenderedPageBreak/>
        <w:t>Instructor provides transcripts and/or captions for all auditory media, including both audio and video resources (Tier 3)</w:t>
      </w:r>
      <w:r w:rsidR="00FC290D">
        <w:t>.</w:t>
      </w:r>
    </w:p>
    <w:p w14:paraId="7AF34605" w14:textId="2C8BBC02" w:rsidR="00FB7453" w:rsidRDefault="00FB7453" w:rsidP="00FB7453">
      <w:pPr>
        <w:pStyle w:val="BodyText"/>
      </w:pPr>
      <w:r>
        <w:t>Observer c</w:t>
      </w:r>
      <w:r w:rsidRPr="00137BE7">
        <w:t>omments</w:t>
      </w:r>
      <w:r>
        <w:t>:</w:t>
      </w:r>
    </w:p>
    <w:p w14:paraId="61D21B5C" w14:textId="77777777" w:rsidR="00FB7453" w:rsidRDefault="00FB7453" w:rsidP="00FB7453">
      <w:pPr>
        <w:pStyle w:val="Heading3"/>
      </w:pPr>
      <w:r>
        <w:t>Instructional content</w:t>
      </w:r>
    </w:p>
    <w:p w14:paraId="547087D7" w14:textId="77777777" w:rsidR="00FB7453" w:rsidRPr="000C5AFE" w:rsidRDefault="00FB7453" w:rsidP="00FB7453">
      <w:pPr>
        <w:pStyle w:val="Heading4"/>
      </w:pPr>
      <w:r w:rsidRPr="000C5AFE">
        <w:t>Knowledge of subject</w:t>
      </w:r>
    </w:p>
    <w:p w14:paraId="7C1820C3" w14:textId="79AAF915" w:rsidR="00FB7453" w:rsidRDefault="00FB7453" w:rsidP="00FB7453">
      <w:pPr>
        <w:pStyle w:val="BodyText"/>
      </w:pPr>
      <w:r w:rsidRPr="0068558A">
        <w:t>Aligns with Excellence in Teaching criteri</w:t>
      </w:r>
      <w:r>
        <w:t>on 4a</w:t>
      </w:r>
      <w:r w:rsidR="00C14208">
        <w:t>.</w:t>
      </w:r>
    </w:p>
    <w:p w14:paraId="10C034DC" w14:textId="77A3E8A3" w:rsidR="008D2A68" w:rsidRDefault="008D2A68" w:rsidP="007A39AC">
      <w:pPr>
        <w:pStyle w:val="Bulletlist1"/>
        <w:numPr>
          <w:ilvl w:val="0"/>
          <w:numId w:val="11"/>
        </w:numPr>
      </w:pPr>
      <w:r>
        <w:t>Instructor’s factual statements are consistent with current knowledge in the field (Tier 1)</w:t>
      </w:r>
      <w:r w:rsidR="00C14208">
        <w:t>.</w:t>
      </w:r>
    </w:p>
    <w:p w14:paraId="6E9D5588" w14:textId="1CB5705A" w:rsidR="008D2A68" w:rsidRDefault="008D2A68" w:rsidP="007A39AC">
      <w:pPr>
        <w:pStyle w:val="Bulletlist1"/>
        <w:numPr>
          <w:ilvl w:val="0"/>
          <w:numId w:val="11"/>
        </w:numPr>
        <w:rPr>
          <w:rFonts w:ascii="Apple Color Emoji" w:hAnsi="Apple Color Emoji" w:cs="Apple Color Emoji"/>
        </w:rPr>
      </w:pPr>
      <w:r>
        <w:t>Instructor correctly answers questions about course-level content (</w:t>
      </w:r>
      <w:r w:rsidR="00C14208">
        <w:t>Tier</w:t>
      </w:r>
      <w:r>
        <w:t xml:space="preserve"> 1)</w:t>
      </w:r>
      <w:r w:rsidR="00C14208">
        <w:t>.</w:t>
      </w:r>
    </w:p>
    <w:p w14:paraId="5473F95A" w14:textId="0CE733A8" w:rsidR="008D2A68" w:rsidRDefault="008D2A68" w:rsidP="007A39AC">
      <w:pPr>
        <w:pStyle w:val="Bulletlist1"/>
        <w:numPr>
          <w:ilvl w:val="0"/>
          <w:numId w:val="11"/>
        </w:numPr>
      </w:pPr>
      <w:r>
        <w:t>Instructor answers questions confidently, clearly, and simply (Tier 2)</w:t>
      </w:r>
      <w:r w:rsidR="00C14208">
        <w:t>.</w:t>
      </w:r>
    </w:p>
    <w:p w14:paraId="3003E627" w14:textId="038127F9" w:rsidR="008D2A68" w:rsidRDefault="008D2A68" w:rsidP="007A39AC">
      <w:pPr>
        <w:pStyle w:val="Bulletlist1"/>
        <w:numPr>
          <w:ilvl w:val="0"/>
          <w:numId w:val="11"/>
        </w:numPr>
      </w:pPr>
      <w:r>
        <w:t>Instructor ties current content to topics or knowledge from the profession and/or more advanced courses (Tier 3)</w:t>
      </w:r>
      <w:r w:rsidR="00C14208">
        <w:t>.</w:t>
      </w:r>
    </w:p>
    <w:p w14:paraId="66E6DFAC" w14:textId="77777777" w:rsidR="00FB7453" w:rsidRDefault="00FB7453" w:rsidP="00FB7453">
      <w:pPr>
        <w:pStyle w:val="Heading4"/>
      </w:pPr>
      <w:r>
        <w:t xml:space="preserve">Discipline-specific </w:t>
      </w:r>
      <w:r w:rsidRPr="00137BE7">
        <w:t>language</w:t>
      </w:r>
      <w:r>
        <w:t xml:space="preserve"> </w:t>
      </w:r>
    </w:p>
    <w:p w14:paraId="421FC08C" w14:textId="0912633D" w:rsidR="00FB7453" w:rsidRDefault="00FB7453" w:rsidP="00FB7453">
      <w:pPr>
        <w:pStyle w:val="BodyText"/>
      </w:pPr>
      <w:r w:rsidRPr="0068558A">
        <w:t>Aligns with Excellence in Teaching criteri</w:t>
      </w:r>
      <w:r>
        <w:t>on 1e</w:t>
      </w:r>
      <w:r w:rsidR="00C14208">
        <w:t>.</w:t>
      </w:r>
    </w:p>
    <w:p w14:paraId="51D03D24" w14:textId="5CF02325" w:rsidR="008D2A68" w:rsidRDefault="008D2A68" w:rsidP="007A39AC">
      <w:pPr>
        <w:pStyle w:val="Bulletlist1"/>
        <w:numPr>
          <w:ilvl w:val="0"/>
          <w:numId w:val="12"/>
        </w:numPr>
      </w:pPr>
      <w:r w:rsidRPr="008D2A68">
        <w:t>Instructor uses discipline-specific and academic language</w:t>
      </w:r>
      <w:r>
        <w:t xml:space="preserve"> (Tier 1)</w:t>
      </w:r>
      <w:r w:rsidR="00C14208">
        <w:t>.</w:t>
      </w:r>
    </w:p>
    <w:p w14:paraId="75DDBB45" w14:textId="62C5E507" w:rsidR="008D2A68" w:rsidRDefault="008D2A68" w:rsidP="007A39AC">
      <w:pPr>
        <w:pStyle w:val="Bulletlist1"/>
        <w:numPr>
          <w:ilvl w:val="0"/>
          <w:numId w:val="12"/>
        </w:numPr>
      </w:pPr>
      <w:r w:rsidRPr="008D2A68">
        <w:t>Instructor explains use of discipline-specific terms</w:t>
      </w:r>
      <w:r>
        <w:t xml:space="preserve"> (Tier 2)</w:t>
      </w:r>
      <w:r w:rsidR="00C14208">
        <w:t>.</w:t>
      </w:r>
    </w:p>
    <w:p w14:paraId="1FED351F" w14:textId="51847D40" w:rsidR="008D2A68" w:rsidRDefault="008D2A68" w:rsidP="007A39AC">
      <w:pPr>
        <w:pStyle w:val="Bulletlist1"/>
        <w:numPr>
          <w:ilvl w:val="0"/>
          <w:numId w:val="12"/>
        </w:numPr>
      </w:pPr>
      <w:r w:rsidRPr="008D2A68">
        <w:t>Instructor facilitates the use of discipline-specific language by students</w:t>
      </w:r>
      <w:r>
        <w:t xml:space="preserve"> (Tier 3)</w:t>
      </w:r>
      <w:r w:rsidR="00C14208">
        <w:t>.</w:t>
      </w:r>
    </w:p>
    <w:p w14:paraId="5F34DD9D" w14:textId="77777777" w:rsidR="00FB7453" w:rsidRDefault="00FB7453" w:rsidP="00FB7453">
      <w:pPr>
        <w:pStyle w:val="Heading4"/>
      </w:pPr>
      <w:r>
        <w:t>Contextual relevance and transferability</w:t>
      </w:r>
    </w:p>
    <w:p w14:paraId="0A26A947" w14:textId="7FA42423" w:rsidR="00FB7453" w:rsidRDefault="00FB7453" w:rsidP="00FB7453">
      <w:pPr>
        <w:pStyle w:val="BodyText"/>
      </w:pPr>
      <w:r w:rsidRPr="0068558A">
        <w:t>Aligns with Excellence in Teaching criteri</w:t>
      </w:r>
      <w:r>
        <w:t>a 3c, 4c</w:t>
      </w:r>
      <w:r w:rsidR="00C14208">
        <w:t>.</w:t>
      </w:r>
    </w:p>
    <w:p w14:paraId="76736AE4" w14:textId="19A10689" w:rsidR="008D2A68" w:rsidRDefault="008D2A68" w:rsidP="007A39AC">
      <w:pPr>
        <w:pStyle w:val="Bulletlist1"/>
        <w:numPr>
          <w:ilvl w:val="0"/>
          <w:numId w:val="13"/>
        </w:numPr>
      </w:pPr>
      <w:r>
        <w:t>Instructor provides real-world applications of module/unit content (Tier 1)</w:t>
      </w:r>
      <w:r w:rsidR="00C14208">
        <w:t>.</w:t>
      </w:r>
    </w:p>
    <w:p w14:paraId="616201A4" w14:textId="5E8E7165" w:rsidR="008D2A68" w:rsidRDefault="008D2A68" w:rsidP="007A39AC">
      <w:pPr>
        <w:pStyle w:val="Bulletlist1"/>
        <w:numPr>
          <w:ilvl w:val="0"/>
          <w:numId w:val="13"/>
        </w:numPr>
        <w:rPr>
          <w:rFonts w:ascii="Apple Color Emoji" w:hAnsi="Apple Color Emoji" w:cs="Apple Color Emoji"/>
        </w:rPr>
      </w:pPr>
      <w:r>
        <w:t>Instructor explicitly builds on prior student knowledge (Tier 1)</w:t>
      </w:r>
      <w:r w:rsidR="00C14208">
        <w:t>.</w:t>
      </w:r>
    </w:p>
    <w:p w14:paraId="75B8414E" w14:textId="6CA3AF71" w:rsidR="008D2A68" w:rsidRDefault="008D2A68" w:rsidP="007A39AC">
      <w:pPr>
        <w:pStyle w:val="Bulletlist1"/>
        <w:numPr>
          <w:ilvl w:val="0"/>
          <w:numId w:val="13"/>
        </w:numPr>
        <w:rPr>
          <w:rFonts w:ascii="Apple Color Emoji" w:hAnsi="Apple Color Emoji" w:cs="Apple Color Emoji"/>
        </w:rPr>
      </w:pPr>
      <w:r>
        <w:t>Instructor has students provide real-world examples of class content or apply content to real-world scenarios (Tier 2)</w:t>
      </w:r>
      <w:r w:rsidR="00C14208">
        <w:t>.</w:t>
      </w:r>
    </w:p>
    <w:p w14:paraId="44D8B4F9" w14:textId="5AFB100D" w:rsidR="008D2A68" w:rsidRDefault="008D2A68" w:rsidP="007A39AC">
      <w:pPr>
        <w:pStyle w:val="Bulletlist1"/>
        <w:numPr>
          <w:ilvl w:val="0"/>
          <w:numId w:val="13"/>
        </w:numPr>
      </w:pPr>
      <w:r>
        <w:t>Where appropriate, instructor uses examples where their discipline converges with other disciplines (Tier 3)</w:t>
      </w:r>
      <w:r w:rsidR="00C14208">
        <w:t>.</w:t>
      </w:r>
    </w:p>
    <w:p w14:paraId="79479C67" w14:textId="6E374FBE" w:rsidR="00FB7453" w:rsidRDefault="00FB7453" w:rsidP="00FB7453">
      <w:pPr>
        <w:pStyle w:val="BodyText"/>
      </w:pPr>
      <w:r>
        <w:t>Observer comments:</w:t>
      </w:r>
    </w:p>
    <w:p w14:paraId="4B48189F" w14:textId="77777777" w:rsidR="00FB7453" w:rsidRDefault="00FB7453" w:rsidP="00FB7453">
      <w:pPr>
        <w:pStyle w:val="Heading3"/>
      </w:pPr>
      <w:r>
        <w:t>Student engagement</w:t>
      </w:r>
    </w:p>
    <w:p w14:paraId="27E579AF" w14:textId="77777777" w:rsidR="00FB7453" w:rsidRDefault="00FB7453" w:rsidP="00FB7453">
      <w:pPr>
        <w:pStyle w:val="Heading4"/>
      </w:pPr>
      <w:r w:rsidRPr="00FA79B4">
        <w:t>Appropriate content or level</w:t>
      </w:r>
    </w:p>
    <w:p w14:paraId="2979F3F6" w14:textId="64E85ED0" w:rsidR="00FB7453" w:rsidRDefault="00FB7453" w:rsidP="00FB7453">
      <w:pPr>
        <w:pStyle w:val="BodyText"/>
      </w:pPr>
      <w:r w:rsidRPr="0068558A">
        <w:t>Aligns with Excellence in Teaching criteri</w:t>
      </w:r>
      <w:r>
        <w:t xml:space="preserve">a </w:t>
      </w:r>
      <w:r w:rsidRPr="00FA79B4">
        <w:t>1c, 2a, 2b, 3a</w:t>
      </w:r>
      <w:r w:rsidR="00B61901">
        <w:t>.</w:t>
      </w:r>
    </w:p>
    <w:p w14:paraId="3B69C74D" w14:textId="429A82C5" w:rsidR="001314D1" w:rsidRDefault="001314D1" w:rsidP="007A39AC">
      <w:pPr>
        <w:pStyle w:val="Bulletlist1"/>
        <w:numPr>
          <w:ilvl w:val="0"/>
          <w:numId w:val="14"/>
        </w:numPr>
      </w:pPr>
      <w:r>
        <w:t>Module/unit content appropriately challenges students (Tier 1)</w:t>
      </w:r>
      <w:r w:rsidR="00B61901">
        <w:t>.</w:t>
      </w:r>
    </w:p>
    <w:p w14:paraId="1FBA8F2C" w14:textId="512CE6AE" w:rsidR="001314D1" w:rsidRDefault="001314D1" w:rsidP="007A39AC">
      <w:pPr>
        <w:pStyle w:val="Bulletlist1"/>
        <w:numPr>
          <w:ilvl w:val="0"/>
          <w:numId w:val="14"/>
        </w:numPr>
      </w:pPr>
      <w:r>
        <w:lastRenderedPageBreak/>
        <w:t>Module/unit content promotes mastery of course learning objectives (Tier 1)</w:t>
      </w:r>
      <w:r w:rsidR="00B61901">
        <w:t>.</w:t>
      </w:r>
    </w:p>
    <w:p w14:paraId="6DA24764" w14:textId="14746AAB" w:rsidR="001314D1" w:rsidRDefault="001314D1" w:rsidP="007A39AC">
      <w:pPr>
        <w:pStyle w:val="Bulletlist1"/>
        <w:numPr>
          <w:ilvl w:val="0"/>
          <w:numId w:val="14"/>
        </w:numPr>
      </w:pPr>
      <w:r>
        <w:t xml:space="preserve">Instructor engages students in </w:t>
      </w:r>
      <w:proofErr w:type="gramStart"/>
      <w:r>
        <w:t>higher-order</w:t>
      </w:r>
      <w:proofErr w:type="gramEnd"/>
      <w:r>
        <w:t xml:space="preserve"> thinking skills (Tier 2)</w:t>
      </w:r>
      <w:r w:rsidR="00B61901">
        <w:t>.</w:t>
      </w:r>
    </w:p>
    <w:p w14:paraId="7DF6F949" w14:textId="14CCEB88" w:rsidR="001314D1" w:rsidRDefault="001314D1" w:rsidP="007A39AC">
      <w:pPr>
        <w:pStyle w:val="Bulletlist1"/>
        <w:numPr>
          <w:ilvl w:val="0"/>
          <w:numId w:val="14"/>
        </w:numPr>
      </w:pPr>
      <w:proofErr w:type="gramStart"/>
      <w:r>
        <w:t>A majority of</w:t>
      </w:r>
      <w:proofErr w:type="gramEnd"/>
      <w:r>
        <w:t xml:space="preserve"> the module/unit’s activities engage higher-order thinking (Tier 3)</w:t>
      </w:r>
      <w:r w:rsidR="00B61901">
        <w:t>.</w:t>
      </w:r>
    </w:p>
    <w:p w14:paraId="1B21DB88" w14:textId="77777777" w:rsidR="00FB7453" w:rsidRDefault="00FB7453" w:rsidP="00FB7453">
      <w:pPr>
        <w:pStyle w:val="BodyText"/>
      </w:pPr>
      <w:r>
        <w:t>Note: Higher-order thinking involves analysis, critical thinking, evaluation, problem solving, etc.</w:t>
      </w:r>
    </w:p>
    <w:p w14:paraId="7CEFA155" w14:textId="77777777" w:rsidR="00FB7453" w:rsidRDefault="00FB7453" w:rsidP="00FB7453">
      <w:pPr>
        <w:pStyle w:val="Heading4"/>
      </w:pPr>
      <w:r w:rsidRPr="00FA79B4">
        <w:t>Active learning</w:t>
      </w:r>
    </w:p>
    <w:p w14:paraId="100D2B2C" w14:textId="5F5E761D" w:rsidR="00FB7453" w:rsidRDefault="00FB7453" w:rsidP="00FB7453">
      <w:pPr>
        <w:pStyle w:val="BodyText"/>
        <w:rPr>
          <w:bCs/>
        </w:rPr>
      </w:pPr>
      <w:r w:rsidRPr="0068558A">
        <w:t>Aligns with Excellence in Teaching criteri</w:t>
      </w:r>
      <w:r>
        <w:t xml:space="preserve">a </w:t>
      </w:r>
      <w:r w:rsidRPr="00FA79B4">
        <w:rPr>
          <w:bCs/>
        </w:rPr>
        <w:t>2a, 2b, 2c, 2d, 2e, 3d, 4b</w:t>
      </w:r>
      <w:r w:rsidR="00B61901">
        <w:rPr>
          <w:bCs/>
        </w:rPr>
        <w:t>.</w:t>
      </w:r>
    </w:p>
    <w:p w14:paraId="4DE2D0A9" w14:textId="037AB05F" w:rsidR="001314D1" w:rsidRDefault="001314D1" w:rsidP="007A39AC">
      <w:pPr>
        <w:pStyle w:val="Bulletlist1"/>
        <w:numPr>
          <w:ilvl w:val="0"/>
          <w:numId w:val="15"/>
        </w:numPr>
      </w:pPr>
      <w:r>
        <w:t xml:space="preserve">Module/unit </w:t>
      </w:r>
      <w:r w:rsidR="000C5D5F">
        <w:t xml:space="preserve">includes </w:t>
      </w:r>
      <w:r>
        <w:t>at least one active-learning exercise to apply course content, resulting in a graded student work product (Tier 1)</w:t>
      </w:r>
      <w:r w:rsidR="00B61901">
        <w:t>.</w:t>
      </w:r>
    </w:p>
    <w:p w14:paraId="6E69677B" w14:textId="350E5FB7" w:rsidR="001314D1" w:rsidRDefault="001314D1" w:rsidP="007A39AC">
      <w:pPr>
        <w:pStyle w:val="Bulletlist1"/>
        <w:numPr>
          <w:ilvl w:val="0"/>
          <w:numId w:val="15"/>
        </w:numPr>
      </w:pPr>
      <w:r>
        <w:t>Instructor facilitates student-led explanations and/or discussions (Tier 2)</w:t>
      </w:r>
      <w:r w:rsidR="00B61901">
        <w:t>.</w:t>
      </w:r>
    </w:p>
    <w:p w14:paraId="7FC3D0D8" w14:textId="3934AE45" w:rsidR="001314D1" w:rsidRDefault="001314D1" w:rsidP="007A39AC">
      <w:pPr>
        <w:pStyle w:val="Bulletlist1"/>
        <w:numPr>
          <w:ilvl w:val="0"/>
          <w:numId w:val="15"/>
        </w:numPr>
        <w:rPr>
          <w:bCs/>
        </w:rPr>
      </w:pPr>
      <w:r>
        <w:t>Where appropriate, instructor leverages student use of electronic technology to facilitate active learning (Tier 3)</w:t>
      </w:r>
      <w:r w:rsidR="00B61901">
        <w:t>.</w:t>
      </w:r>
    </w:p>
    <w:p w14:paraId="772DD43C" w14:textId="1D6C7EFD" w:rsidR="00FB7453" w:rsidRDefault="00FB7453" w:rsidP="00FB7453">
      <w:pPr>
        <w:pStyle w:val="BodyText"/>
      </w:pPr>
      <w:r>
        <w:t xml:space="preserve">Note: Student engagement refers to </w:t>
      </w:r>
      <w:r w:rsidRPr="0057258F">
        <w:t>active</w:t>
      </w:r>
      <w:r>
        <w:t xml:space="preserve"> participation in an activity in which students are practicing course concepts</w:t>
      </w:r>
      <w:r w:rsidR="00B61901">
        <w:t>.</w:t>
      </w:r>
    </w:p>
    <w:p w14:paraId="34340359" w14:textId="77777777" w:rsidR="00FB7453" w:rsidRDefault="00FB7453" w:rsidP="00FB7453">
      <w:pPr>
        <w:pStyle w:val="Heading4"/>
      </w:pPr>
      <w:r>
        <w:t>Formative assessment/feedback</w:t>
      </w:r>
    </w:p>
    <w:p w14:paraId="4A71496B" w14:textId="66507F68" w:rsidR="00FB7453" w:rsidRDefault="00FB7453" w:rsidP="00FB7453">
      <w:pPr>
        <w:pStyle w:val="BodyText"/>
      </w:pPr>
      <w:r w:rsidRPr="0068558A">
        <w:t>Aligns with Excellence in Teaching criteri</w:t>
      </w:r>
      <w:r>
        <w:t>a 1b, 2f, 6a, 6b, 6c, 6d</w:t>
      </w:r>
      <w:r w:rsidR="00B61901">
        <w:t>.</w:t>
      </w:r>
    </w:p>
    <w:p w14:paraId="2052E8DF" w14:textId="36174104" w:rsidR="001314D1" w:rsidRDefault="001314D1" w:rsidP="007A39AC">
      <w:pPr>
        <w:pStyle w:val="Bulletlist1"/>
        <w:numPr>
          <w:ilvl w:val="0"/>
          <w:numId w:val="16"/>
        </w:numPr>
      </w:pPr>
      <w:r>
        <w:t>Instructor provides students constructive and encouraging feedback on how to improve their performance</w:t>
      </w:r>
      <w:r w:rsidR="00AF61F1">
        <w:t xml:space="preserve"> </w:t>
      </w:r>
      <w:r>
        <w:t>(Tier 1)</w:t>
      </w:r>
      <w:r w:rsidR="00AF61F1">
        <w:t>.</w:t>
      </w:r>
    </w:p>
    <w:p w14:paraId="62DFFD12" w14:textId="14A93358" w:rsidR="001314D1" w:rsidRDefault="001314D1" w:rsidP="007A39AC">
      <w:pPr>
        <w:pStyle w:val="Bulletlist1"/>
        <w:numPr>
          <w:ilvl w:val="0"/>
          <w:numId w:val="16"/>
        </w:numPr>
      </w:pPr>
      <w:r>
        <w:t>Instructor provides information to students about their performance on module/unit activities compared to a pre-established standard (Tier 2)</w:t>
      </w:r>
      <w:r w:rsidR="00AF61F1">
        <w:t>.</w:t>
      </w:r>
    </w:p>
    <w:p w14:paraId="0A206400" w14:textId="5C4315D3" w:rsidR="001314D1" w:rsidRDefault="001314D1" w:rsidP="007A39AC">
      <w:pPr>
        <w:pStyle w:val="Bulletlist1"/>
        <w:numPr>
          <w:ilvl w:val="0"/>
          <w:numId w:val="16"/>
        </w:numPr>
      </w:pPr>
      <w:r>
        <w:t>Instructor leads students in structured reflection on learning activities (Tier 3)</w:t>
      </w:r>
      <w:r w:rsidR="00AF61F1">
        <w:t>.</w:t>
      </w:r>
    </w:p>
    <w:p w14:paraId="1E0A8B3E" w14:textId="038D3BFD" w:rsidR="00FB7453" w:rsidRDefault="00FB7453" w:rsidP="00FB7453">
      <w:pPr>
        <w:pStyle w:val="BodyText"/>
      </w:pPr>
      <w:r>
        <w:t>Observer comments:</w:t>
      </w:r>
    </w:p>
    <w:p w14:paraId="158C8685" w14:textId="77777777" w:rsidR="00FB7453" w:rsidRDefault="00FB7453" w:rsidP="00FB7453">
      <w:pPr>
        <w:pStyle w:val="Heading3"/>
      </w:pPr>
      <w:r>
        <w:t>Context</w:t>
      </w:r>
    </w:p>
    <w:p w14:paraId="14DA9A96" w14:textId="6C768B33" w:rsidR="00FB6A5D" w:rsidRPr="00361028" w:rsidRDefault="00FB7453" w:rsidP="00FC290D">
      <w:pPr>
        <w:pStyle w:val="BodyText"/>
      </w:pPr>
      <w:r>
        <w:t>Record pertinent characteristics of the course, student population, and environment. Examples: enrollment, student demographics, course LMS, and general-education status.</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046D" w14:textId="77777777" w:rsidR="00E44A2D" w:rsidRDefault="00E44A2D">
      <w:r>
        <w:separator/>
      </w:r>
    </w:p>
  </w:endnote>
  <w:endnote w:type="continuationSeparator" w:id="0">
    <w:p w14:paraId="47272115" w14:textId="77777777" w:rsidR="00E44A2D" w:rsidRDefault="00E4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EFA7"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269BADB" w14:textId="77777777" w:rsidR="00B71CD1" w:rsidRDefault="000D6F02">
    <w:r>
      <w:rPr>
        <w:noProof/>
      </w:rPr>
      <w:drawing>
        <wp:inline distT="114300" distB="114300" distL="114300" distR="114300" wp14:anchorId="45D81803" wp14:editId="0E1E145E">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807D" w14:textId="77777777" w:rsidR="00E44A2D" w:rsidRDefault="00E44A2D">
      <w:r>
        <w:separator/>
      </w:r>
    </w:p>
  </w:footnote>
  <w:footnote w:type="continuationSeparator" w:id="0">
    <w:p w14:paraId="710E3CCE" w14:textId="77777777" w:rsidR="00E44A2D" w:rsidRDefault="00E4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55.85pt;height:255.85pt" o:bullet="t">
        <v:imagedata r:id="rId1" o:title="square"/>
      </v:shape>
    </w:pict>
  </w:numPicBullet>
  <w:abstractNum w:abstractNumId="0" w15:restartNumberingAfterBreak="0">
    <w:nsid w:val="016D5D28"/>
    <w:multiLevelType w:val="hybridMultilevel"/>
    <w:tmpl w:val="0FCA26B2"/>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B49B7"/>
    <w:multiLevelType w:val="hybridMultilevel"/>
    <w:tmpl w:val="82BE1C5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6DCD"/>
    <w:multiLevelType w:val="hybridMultilevel"/>
    <w:tmpl w:val="26FE49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22324"/>
    <w:multiLevelType w:val="hybridMultilevel"/>
    <w:tmpl w:val="B9BABC36"/>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D7E1E"/>
    <w:multiLevelType w:val="hybridMultilevel"/>
    <w:tmpl w:val="24DC9088"/>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8595C"/>
    <w:multiLevelType w:val="hybridMultilevel"/>
    <w:tmpl w:val="E6B07124"/>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675AD"/>
    <w:multiLevelType w:val="hybridMultilevel"/>
    <w:tmpl w:val="789A413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3D7FA1"/>
    <w:multiLevelType w:val="hybridMultilevel"/>
    <w:tmpl w:val="34146414"/>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DF64FF"/>
    <w:multiLevelType w:val="hybridMultilevel"/>
    <w:tmpl w:val="B55E58F6"/>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6672E4"/>
    <w:multiLevelType w:val="hybridMultilevel"/>
    <w:tmpl w:val="CDDE7902"/>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F749A9"/>
    <w:multiLevelType w:val="hybridMultilevel"/>
    <w:tmpl w:val="2B108002"/>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2F536D"/>
    <w:multiLevelType w:val="hybridMultilevel"/>
    <w:tmpl w:val="A68612E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0320F"/>
    <w:multiLevelType w:val="hybridMultilevel"/>
    <w:tmpl w:val="3B86F7E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F976BE"/>
    <w:multiLevelType w:val="hybridMultilevel"/>
    <w:tmpl w:val="742C1BA2"/>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D2045A"/>
    <w:multiLevelType w:val="hybridMultilevel"/>
    <w:tmpl w:val="515813AE"/>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15"/>
  </w:num>
  <w:num w:numId="5">
    <w:abstractNumId w:val="4"/>
  </w:num>
  <w:num w:numId="6">
    <w:abstractNumId w:val="5"/>
  </w:num>
  <w:num w:numId="7">
    <w:abstractNumId w:val="7"/>
  </w:num>
  <w:num w:numId="8">
    <w:abstractNumId w:val="13"/>
  </w:num>
  <w:num w:numId="9">
    <w:abstractNumId w:val="14"/>
  </w:num>
  <w:num w:numId="10">
    <w:abstractNumId w:val="12"/>
  </w:num>
  <w:num w:numId="11">
    <w:abstractNumId w:val="9"/>
  </w:num>
  <w:num w:numId="12">
    <w:abstractNumId w:val="3"/>
  </w:num>
  <w:num w:numId="13">
    <w:abstractNumId w:val="8"/>
  </w:num>
  <w:num w:numId="14">
    <w:abstractNumId w:val="0"/>
  </w:num>
  <w:num w:numId="15">
    <w:abstractNumId w:val="10"/>
  </w:num>
  <w:num w:numId="16">
    <w:abstractNumId w:val="11"/>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53"/>
    <w:rsid w:val="00001DAE"/>
    <w:rsid w:val="00036BD5"/>
    <w:rsid w:val="000650AB"/>
    <w:rsid w:val="000803A4"/>
    <w:rsid w:val="0008678D"/>
    <w:rsid w:val="00090D3E"/>
    <w:rsid w:val="000A4592"/>
    <w:rsid w:val="000C5D5F"/>
    <w:rsid w:val="000D6F02"/>
    <w:rsid w:val="00101C3F"/>
    <w:rsid w:val="00103126"/>
    <w:rsid w:val="001314D1"/>
    <w:rsid w:val="00147BD0"/>
    <w:rsid w:val="001506F8"/>
    <w:rsid w:val="00166699"/>
    <w:rsid w:val="00172352"/>
    <w:rsid w:val="00177A62"/>
    <w:rsid w:val="00182BCC"/>
    <w:rsid w:val="001A5178"/>
    <w:rsid w:val="001D4ECA"/>
    <w:rsid w:val="001F0B8A"/>
    <w:rsid w:val="00203004"/>
    <w:rsid w:val="00216366"/>
    <w:rsid w:val="00247865"/>
    <w:rsid w:val="00276642"/>
    <w:rsid w:val="002929A3"/>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235D4"/>
    <w:rsid w:val="00630F6B"/>
    <w:rsid w:val="00655A09"/>
    <w:rsid w:val="006661C6"/>
    <w:rsid w:val="00667254"/>
    <w:rsid w:val="00670873"/>
    <w:rsid w:val="00687871"/>
    <w:rsid w:val="0071143C"/>
    <w:rsid w:val="00781A9F"/>
    <w:rsid w:val="00786E8B"/>
    <w:rsid w:val="00796F54"/>
    <w:rsid w:val="007A39AC"/>
    <w:rsid w:val="007C29DF"/>
    <w:rsid w:val="007E4E36"/>
    <w:rsid w:val="007F6055"/>
    <w:rsid w:val="007F7DF8"/>
    <w:rsid w:val="00814537"/>
    <w:rsid w:val="0084403C"/>
    <w:rsid w:val="0084634A"/>
    <w:rsid w:val="00873042"/>
    <w:rsid w:val="00881CC3"/>
    <w:rsid w:val="008A0F71"/>
    <w:rsid w:val="008C1092"/>
    <w:rsid w:val="008D2A68"/>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D41CA"/>
    <w:rsid w:val="00AE1B01"/>
    <w:rsid w:val="00AE4C7B"/>
    <w:rsid w:val="00AF61F1"/>
    <w:rsid w:val="00B1440B"/>
    <w:rsid w:val="00B32CA2"/>
    <w:rsid w:val="00B46E52"/>
    <w:rsid w:val="00B61901"/>
    <w:rsid w:val="00B668B6"/>
    <w:rsid w:val="00B71CD1"/>
    <w:rsid w:val="00BA00CB"/>
    <w:rsid w:val="00BE7065"/>
    <w:rsid w:val="00BF004C"/>
    <w:rsid w:val="00BF0E1C"/>
    <w:rsid w:val="00BF1CAA"/>
    <w:rsid w:val="00C14208"/>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44A2D"/>
    <w:rsid w:val="00E65E67"/>
    <w:rsid w:val="00E91E48"/>
    <w:rsid w:val="00EB781B"/>
    <w:rsid w:val="00ED4591"/>
    <w:rsid w:val="00ED77C4"/>
    <w:rsid w:val="00EF4D08"/>
    <w:rsid w:val="00F30D10"/>
    <w:rsid w:val="00F44638"/>
    <w:rsid w:val="00F83DB8"/>
    <w:rsid w:val="00F85D29"/>
    <w:rsid w:val="00F93066"/>
    <w:rsid w:val="00FB6A5D"/>
    <w:rsid w:val="00FB7453"/>
    <w:rsid w:val="00FC290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5738"/>
  <w15:docId w15:val="{5FA17C25-F370-D240-B60E-BB3842E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Header">
    <w:name w:val="header"/>
    <w:basedOn w:val="Normal"/>
    <w:link w:val="HeaderChar"/>
    <w:uiPriority w:val="99"/>
    <w:unhideWhenUsed/>
    <w:rsid w:val="008D2A68"/>
    <w:pPr>
      <w:tabs>
        <w:tab w:val="center" w:pos="4680"/>
        <w:tab w:val="right" w:pos="9360"/>
      </w:tabs>
    </w:pPr>
    <w:rPr>
      <w:rFonts w:ascii="Calibri" w:eastAsia="Calibri" w:hAnsi="Calibri" w:cs="Calibri"/>
      <w:sz w:val="22"/>
      <w:szCs w:val="22"/>
      <w:lang w:val="en"/>
    </w:rPr>
  </w:style>
  <w:style w:type="character" w:customStyle="1" w:styleId="HeaderChar">
    <w:name w:val="Header Char"/>
    <w:basedOn w:val="DefaultParagraphFont"/>
    <w:link w:val="Header"/>
    <w:uiPriority w:val="99"/>
    <w:rsid w:val="008D2A68"/>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Brandy Jenner</cp:lastModifiedBy>
  <cp:revision>2</cp:revision>
  <dcterms:created xsi:type="dcterms:W3CDTF">2021-11-23T18:41:00Z</dcterms:created>
  <dcterms:modified xsi:type="dcterms:W3CDTF">2021-11-23T18:41:00Z</dcterms:modified>
</cp:coreProperties>
</file>